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z w:val="32"/>
          <w:szCs w:val="32"/>
        </w:rPr>
      </w:pPr>
      <w:bookmarkStart w:id="68" w:name="_GoBack"/>
      <w:bookmarkEnd w:id="68"/>
      <w:r>
        <w:rPr>
          <w:rFonts w:hint="eastAsia" w:ascii="黑体" w:hAnsi="黑体" w:eastAsia="黑体" w:cs="黑体"/>
          <w:sz w:val="32"/>
          <w:szCs w:val="32"/>
        </w:rPr>
        <w:t>附件1</w:t>
      </w:r>
    </w:p>
    <w:p>
      <w:pPr>
        <w:pStyle w:val="2"/>
        <w:ind w:firstLine="640"/>
        <w:rPr>
          <w:rFonts w:hint="eastAsia" w:ascii="黑体" w:hAnsi="黑体" w:eastAsia="黑体" w:cs="黑体"/>
          <w:sz w:val="32"/>
          <w:szCs w:val="32"/>
        </w:rPr>
      </w:pPr>
    </w:p>
    <w:p>
      <w:pPr>
        <w:pStyle w:val="2"/>
        <w:ind w:firstLine="640"/>
        <w:rPr>
          <w:rFonts w:hint="eastAsia" w:ascii="黑体" w:hAnsi="黑体" w:eastAsia="黑体" w:cs="黑体"/>
          <w:sz w:val="32"/>
          <w:szCs w:val="32"/>
        </w:rPr>
      </w:pPr>
    </w:p>
    <w:p>
      <w:pPr>
        <w:spacing w:line="360" w:lineRule="auto"/>
        <w:jc w:val="center"/>
        <w:rPr>
          <w:rFonts w:hint="eastAsia" w:ascii="方正小标宋简体" w:hAnsi="等线" w:eastAsia="方正小标宋简体" w:cs="Times New Roman"/>
          <w:spacing w:val="198"/>
          <w:sz w:val="72"/>
          <w:szCs w:val="22"/>
        </w:rPr>
      </w:pPr>
      <w:r>
        <w:rPr>
          <w:rFonts w:hint="eastAsia" w:ascii="方正小标宋简体" w:hAnsi="等线" w:eastAsia="方正小标宋简体" w:cs="Times New Roman"/>
          <w:spacing w:val="198"/>
          <w:sz w:val="72"/>
          <w:szCs w:val="22"/>
        </w:rPr>
        <w:t>污泥脱水-干化</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生</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产</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性</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试</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验</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方</w:t>
      </w:r>
    </w:p>
    <w:p>
      <w:pPr>
        <w:jc w:val="center"/>
        <w:rPr>
          <w:rFonts w:hint="eastAsia" w:ascii="方正小标宋简体" w:hAnsi="等线" w:eastAsia="方正小标宋简体" w:cs="Times New Roman"/>
          <w:sz w:val="72"/>
          <w:szCs w:val="22"/>
        </w:rPr>
      </w:pPr>
      <w:r>
        <w:rPr>
          <w:rFonts w:hint="eastAsia" w:ascii="方正小标宋简体" w:hAnsi="等线" w:eastAsia="方正小标宋简体" w:cs="Times New Roman"/>
          <w:sz w:val="72"/>
          <w:szCs w:val="22"/>
        </w:rPr>
        <w:t>案</w:t>
      </w:r>
    </w:p>
    <w:p>
      <w:pPr>
        <w:spacing w:line="360" w:lineRule="auto"/>
        <w:jc w:val="center"/>
        <w:rPr>
          <w:rFonts w:hint="eastAsia" w:ascii="仿宋_GB2312" w:hAnsi="等线" w:eastAsia="仿宋_GB2312" w:cs="Times New Roman"/>
          <w:sz w:val="32"/>
          <w:szCs w:val="32"/>
        </w:rPr>
      </w:pPr>
      <w:r>
        <w:rPr>
          <w:rFonts w:hint="eastAsia" w:ascii="仿宋_GB2312" w:hAnsi="等线" w:eastAsia="仿宋_GB2312" w:cs="Times New Roman"/>
          <w:sz w:val="32"/>
          <w:szCs w:val="32"/>
        </w:rPr>
        <w:t>广州市净水有限公司</w:t>
      </w:r>
    </w:p>
    <w:p>
      <w:pPr>
        <w:widowControl/>
        <w:jc w:val="center"/>
        <w:rPr>
          <w:rFonts w:hint="eastAsia" w:ascii="仿宋_GB2312" w:hAnsi="等线" w:eastAsia="仿宋_GB2312" w:cs="Times New Roman"/>
          <w:sz w:val="32"/>
          <w:szCs w:val="32"/>
        </w:rPr>
      </w:pPr>
      <w:r>
        <w:rPr>
          <w:rFonts w:hint="eastAsia" w:ascii="仿宋_GB2312" w:hAnsi="等线" w:eastAsia="仿宋_GB2312" w:cs="Times New Roman"/>
          <w:sz w:val="32"/>
          <w:szCs w:val="32"/>
        </w:rPr>
        <w:t>2024年  月  日</w:t>
      </w:r>
      <w:r>
        <w:rPr>
          <w:rFonts w:hint="eastAsia" w:ascii="仿宋_GB2312" w:hAnsi="等线" w:eastAsia="仿宋_GB2312" w:cs="Times New Roman"/>
          <w:sz w:val="32"/>
          <w:szCs w:val="32"/>
        </w:rPr>
        <w:br w:type="page"/>
      </w:r>
    </w:p>
    <w:p>
      <w:pPr>
        <w:rPr>
          <w:rFonts w:hint="eastAsia" w:ascii="仿宋_GB2312" w:hAnsi="等线" w:eastAsia="仿宋_GB2312"/>
          <w:sz w:val="32"/>
          <w:szCs w:val="32"/>
        </w:rPr>
        <w:sectPr>
          <w:headerReference r:id="rId3" w:type="default"/>
          <w:footerReference r:id="rId4" w:type="default"/>
          <w:pgSz w:w="11906" w:h="16838"/>
          <w:pgMar w:top="1440" w:right="1800" w:bottom="1440" w:left="1800" w:header="851" w:footer="992" w:gutter="0"/>
          <w:pgNumType w:fmt="upperRoman"/>
          <w:cols w:space="425" w:num="1"/>
          <w:docGrid w:type="lines" w:linePitch="312" w:charSpace="0"/>
        </w:sectPr>
      </w:pPr>
      <w:r>
        <w:rPr>
          <w:rFonts w:ascii="仿宋_GB2312" w:hAnsi="等线" w:eastAsia="仿宋_GB2312" w:cs="Times New Roman"/>
          <w:sz w:val="32"/>
          <w:szCs w:val="32"/>
        </w:rPr>
        <w:br w:type="page"/>
      </w:r>
    </w:p>
    <w:p>
      <w:pPr>
        <w:widowControl/>
        <w:rPr>
          <w:rFonts w:hint="eastAsia" w:ascii="仿宋_GB2312" w:hAnsi="等线" w:eastAsia="仿宋_GB2312" w:cs="Times New Roman"/>
          <w:sz w:val="32"/>
          <w:szCs w:val="32"/>
        </w:rPr>
      </w:pPr>
    </w:p>
    <w:sdt>
      <w:sdtPr>
        <w:rPr>
          <w:rFonts w:hint="eastAsia" w:ascii="黑体" w:hAnsi="黑体" w:eastAsia="黑体" w:cs="Times New Roman"/>
          <w:sz w:val="40"/>
          <w:szCs w:val="22"/>
          <w:lang w:val="zh-CN"/>
        </w:rPr>
        <w:id w:val="-397125408"/>
      </w:sdtPr>
      <w:sdtEndPr>
        <w:rPr>
          <w:rFonts w:hint="eastAsia" w:ascii="黑体" w:hAnsi="黑体" w:eastAsia="黑体" w:cs="Times New Roman"/>
          <w:sz w:val="40"/>
          <w:szCs w:val="22"/>
          <w:lang w:val="zh-CN"/>
        </w:rPr>
      </w:sdtEndPr>
      <w:sdtContent>
        <w:p>
          <w:pPr>
            <w:jc w:val="center"/>
            <w:rPr>
              <w:rFonts w:hint="eastAsia" w:ascii="方正小标宋简体" w:hAnsi="方正小标宋简体" w:eastAsia="黑体" w:cs="方正小标宋简体"/>
              <w:b/>
              <w:bCs/>
              <w:sz w:val="32"/>
              <w:szCs w:val="32"/>
            </w:rPr>
          </w:pPr>
          <w:r>
            <w:rPr>
              <w:rFonts w:hint="eastAsia" w:ascii="方正小标宋简体" w:hAnsi="方正小标宋简体" w:eastAsia="方正小标宋简体" w:cs="方正小标宋简体"/>
              <w:sz w:val="32"/>
              <w:szCs w:val="32"/>
            </w:rPr>
            <w:t>目   录</w:t>
          </w:r>
        </w:p>
        <w:p>
          <w:pPr>
            <w:tabs>
              <w:tab w:val="right" w:leader="dot" w:pos="8306"/>
            </w:tabs>
            <w:spacing w:line="360" w:lineRule="auto"/>
            <w:rPr>
              <w:rFonts w:hint="eastAsia" w:ascii="等线" w:hAnsi="等线" w:eastAsia="仿宋_GB2312" w:cs="Times New Roman"/>
              <w:sz w:val="32"/>
              <w:szCs w:val="22"/>
            </w:rPr>
          </w:pPr>
          <w:r>
            <w:rPr>
              <w:rFonts w:hint="eastAsia" w:ascii="仿宋_GB2312" w:hAnsi="等线" w:eastAsia="仿宋_GB2312" w:cs="Times New Roman"/>
              <w:sz w:val="32"/>
              <w:szCs w:val="22"/>
            </w:rPr>
            <w:fldChar w:fldCharType="begin"/>
          </w:r>
          <w:r>
            <w:rPr>
              <w:rFonts w:hint="eastAsia" w:ascii="仿宋_GB2312" w:hAnsi="等线" w:eastAsia="仿宋_GB2312" w:cs="Times New Roman"/>
              <w:sz w:val="32"/>
              <w:szCs w:val="22"/>
            </w:rPr>
            <w:instrText xml:space="preserve"> TOC \o "1-3" \h \z \u </w:instrText>
          </w:r>
          <w:r>
            <w:rPr>
              <w:rFonts w:hint="eastAsia" w:ascii="仿宋_GB2312" w:hAnsi="等线" w:eastAsia="仿宋_GB2312" w:cs="Times New Roman"/>
              <w:sz w:val="32"/>
              <w:szCs w:val="22"/>
            </w:rPr>
            <w:fldChar w:fldCharType="separate"/>
          </w:r>
          <w:r>
            <w:fldChar w:fldCharType="begin"/>
          </w:r>
          <w:r>
            <w:instrText xml:space="preserve"> HYPERLINK \l "_Toc5623" </w:instrText>
          </w:r>
          <w:r>
            <w:fldChar w:fldCharType="separate"/>
          </w:r>
          <w:r>
            <w:rPr>
              <w:rFonts w:hint="eastAsia" w:ascii="等线" w:hAnsi="等线" w:eastAsia="仿宋_GB2312" w:cs="Times New Roman"/>
              <w:sz w:val="32"/>
              <w:szCs w:val="22"/>
            </w:rPr>
            <w:t>一、试验总体情况介绍</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_Toc5623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"_Toc1179"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.1</w:t>
          </w:r>
          <w:r>
            <w:rPr>
              <w:rFonts w:hint="eastAsia" w:ascii="等线" w:hAnsi="等线" w:eastAsia="仿宋_GB2312" w:cs="Times New Roman"/>
              <w:sz w:val="32"/>
              <w:szCs w:val="22"/>
            </w:rPr>
            <w:t>试验背景及目的</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_Toc1179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"_Toc15675" </w:instrText>
          </w:r>
          <w:r>
            <w:fldChar w:fldCharType="separate"/>
          </w:r>
          <w:r>
            <w:rPr>
              <w:rFonts w:ascii="等线" w:hAnsi="等线" w:eastAsia="仿宋_GB2312" w:cs="Times New Roman"/>
              <w:sz w:val="32"/>
              <w:szCs w:val="22"/>
            </w:rPr>
            <w:t>1.2</w:t>
          </w:r>
          <w:r>
            <w:rPr>
              <w:rFonts w:hint="eastAsia" w:ascii="等线" w:hAnsi="等线" w:eastAsia="仿宋_GB2312" w:cs="Times New Roman"/>
              <w:sz w:val="32"/>
              <w:szCs w:val="22"/>
            </w:rPr>
            <w:t>工作分工</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_Toc15675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"_Toc29154"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.2.1</w:t>
          </w:r>
          <w:r>
            <w:rPr>
              <w:rFonts w:hint="eastAsia" w:ascii="等线" w:hAnsi="等线" w:eastAsia="仿宋_GB2312" w:cs="Times New Roman"/>
              <w:sz w:val="32"/>
              <w:szCs w:val="22"/>
            </w:rPr>
            <w:t>广州净水公司</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_Toc29154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"_Toc13253"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.2.2</w:t>
          </w:r>
          <w:r>
            <w:rPr>
              <w:rFonts w:hint="eastAsia" w:ascii="等线" w:hAnsi="等线" w:eastAsia="仿宋_GB2312" w:cs="Times New Roman"/>
              <w:sz w:val="32"/>
              <w:szCs w:val="22"/>
            </w:rPr>
            <w:t>申请人</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_Toc13253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2</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"_Toc7237" </w:instrText>
          </w:r>
          <w:r>
            <w:fldChar w:fldCharType="separate"/>
          </w:r>
          <w:r>
            <w:rPr>
              <w:rFonts w:ascii="等线" w:hAnsi="等线" w:eastAsia="仿宋_GB2312" w:cs="Times New Roman"/>
              <w:sz w:val="32"/>
              <w:szCs w:val="22"/>
            </w:rPr>
            <w:t>1.3</w:t>
          </w:r>
          <w:r>
            <w:rPr>
              <w:rFonts w:hint="eastAsia" w:ascii="等线" w:hAnsi="等线" w:eastAsia="仿宋_GB2312" w:cs="Times New Roman"/>
              <w:sz w:val="32"/>
              <w:szCs w:val="22"/>
            </w:rPr>
            <w:t>试验地点</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_Toc7237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"_Toc12091" </w:instrText>
          </w:r>
          <w:r>
            <w:fldChar w:fldCharType="separate"/>
          </w:r>
          <w:r>
            <w:rPr>
              <w:rFonts w:ascii="等线" w:hAnsi="等线" w:eastAsia="仿宋_GB2312" w:cs="Times New Roman"/>
              <w:sz w:val="32"/>
              <w:szCs w:val="22"/>
            </w:rPr>
            <w:t>1.4</w:t>
          </w:r>
          <w:r>
            <w:rPr>
              <w:rFonts w:hint="eastAsia" w:ascii="等线" w:hAnsi="等线" w:eastAsia="仿宋_GB2312" w:cs="Times New Roman"/>
              <w:sz w:val="32"/>
              <w:szCs w:val="22"/>
            </w:rPr>
            <w:t>试验工艺流程</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_Toc12091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"_Toc19497"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.5</w:t>
          </w:r>
          <w:r>
            <w:rPr>
              <w:rFonts w:hint="eastAsia" w:ascii="等线" w:hAnsi="等线" w:eastAsia="仿宋_GB2312" w:cs="Times New Roman"/>
              <w:sz w:val="32"/>
              <w:szCs w:val="22"/>
            </w:rPr>
            <w:t>污泥深度浓缩系统的主要设备及主要指标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_Toc19497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4</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"_Toc604" </w:instrText>
          </w:r>
          <w:r>
            <w:fldChar w:fldCharType="separate"/>
          </w:r>
          <w:r>
            <w:rPr>
              <w:rFonts w:hint="eastAsia" w:ascii="等线" w:hAnsi="等线" w:eastAsia="仿宋_GB2312" w:cs="Times New Roman"/>
              <w:sz w:val="32"/>
              <w:szCs w:val="22"/>
            </w:rPr>
            <w:t>1</w:t>
          </w:r>
          <w:r>
            <w:rPr>
              <w:rFonts w:ascii="等线" w:hAnsi="等线" w:eastAsia="仿宋_GB2312" w:cs="Times New Roman"/>
              <w:sz w:val="32"/>
              <w:szCs w:val="22"/>
            </w:rPr>
            <w:t>.</w:t>
          </w:r>
          <w:r>
            <w:rPr>
              <w:rFonts w:hint="eastAsia" w:ascii="等线" w:hAnsi="等线" w:eastAsia="仿宋_GB2312" w:cs="Times New Roman"/>
              <w:sz w:val="32"/>
              <w:szCs w:val="22"/>
            </w:rPr>
            <w:t>6关于试验过程中取样问题</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_Toc604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4</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"_Toc19837" </w:instrText>
          </w:r>
          <w:r>
            <w:fldChar w:fldCharType="separate"/>
          </w:r>
          <w:r>
            <w:rPr>
              <w:rFonts w:hint="eastAsia" w:ascii="等线" w:hAnsi="等线" w:eastAsia="仿宋_GB2312" w:cs="Times New Roman"/>
              <w:sz w:val="32"/>
              <w:szCs w:val="22"/>
            </w:rPr>
            <w:t>二、试验流程安排</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_Toc19837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5</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"_Toc9442" </w:instrText>
          </w:r>
          <w:r>
            <w:fldChar w:fldCharType="separate"/>
          </w:r>
          <w:r>
            <w:rPr>
              <w:rFonts w:ascii="等线" w:hAnsi="等线" w:eastAsia="仿宋_GB2312" w:cs="Times New Roman"/>
              <w:sz w:val="32"/>
              <w:szCs w:val="22"/>
            </w:rPr>
            <w:t>2.1</w:t>
          </w:r>
          <w:r>
            <w:rPr>
              <w:rFonts w:hint="eastAsia" w:ascii="等线" w:hAnsi="等线" w:eastAsia="仿宋_GB2312" w:cs="Times New Roman"/>
              <w:sz w:val="32"/>
              <w:szCs w:val="22"/>
            </w:rPr>
            <w:t>试验前工作流程</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_Toc9442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"_Toc11912" </w:instrText>
          </w:r>
          <w:r>
            <w:fldChar w:fldCharType="separate"/>
          </w:r>
          <w:r>
            <w:rPr>
              <w:rFonts w:ascii="等线" w:hAnsi="等线" w:eastAsia="仿宋_GB2312" w:cs="Times New Roman"/>
              <w:sz w:val="32"/>
              <w:szCs w:val="22"/>
            </w:rPr>
            <w:t>2.2</w:t>
          </w:r>
          <w:r>
            <w:rPr>
              <w:rFonts w:hint="eastAsia" w:ascii="等线" w:hAnsi="等线" w:eastAsia="仿宋_GB2312" w:cs="Times New Roman"/>
              <w:sz w:val="32"/>
              <w:szCs w:val="22"/>
            </w:rPr>
            <w:t>试验周期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_Toc11912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"_Toc29574" </w:instrText>
          </w:r>
          <w:r>
            <w:fldChar w:fldCharType="separate"/>
          </w:r>
          <w:r>
            <w:rPr>
              <w:rFonts w:ascii="仿宋_GB2312" w:hAnsi="等线" w:eastAsia="仿宋_GB2312" w:cs="Times New Roman"/>
              <w:sz w:val="32"/>
              <w:szCs w:val="22"/>
            </w:rPr>
            <w:t>2</w:t>
          </w:r>
          <w:r>
            <w:rPr>
              <w:rFonts w:hint="eastAsia" w:ascii="仿宋_GB2312" w:hAnsi="等线" w:eastAsia="仿宋_GB2312" w:cs="Times New Roman"/>
              <w:sz w:val="32"/>
              <w:szCs w:val="22"/>
            </w:rPr>
            <w:t>.2.1考核准备期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_Toc29574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"_Toc2669" </w:instrText>
          </w:r>
          <w:r>
            <w:fldChar w:fldCharType="separate"/>
          </w:r>
          <w:r>
            <w:rPr>
              <w:rFonts w:ascii="仿宋_GB2312" w:hAnsi="等线" w:eastAsia="仿宋_GB2312" w:cs="Times New Roman"/>
              <w:sz w:val="32"/>
              <w:szCs w:val="22"/>
            </w:rPr>
            <w:t>2</w:t>
          </w:r>
          <w:r>
            <w:rPr>
              <w:rFonts w:hint="eastAsia" w:ascii="仿宋_GB2312" w:hAnsi="等线" w:eastAsia="仿宋_GB2312" w:cs="Times New Roman"/>
              <w:sz w:val="32"/>
              <w:szCs w:val="22"/>
            </w:rPr>
            <w:t>.2.2正式考核期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_Toc2669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"_Toc12546" </w:instrText>
          </w:r>
          <w:r>
            <w:fldChar w:fldCharType="separate"/>
          </w:r>
          <w:r>
            <w:rPr>
              <w:rFonts w:ascii="等线" w:hAnsi="等线" w:eastAsia="仿宋_GB2312" w:cs="Times New Roman"/>
              <w:sz w:val="32"/>
              <w:szCs w:val="22"/>
            </w:rPr>
            <w:t>2.3</w:t>
          </w:r>
          <w:r>
            <w:rPr>
              <w:rFonts w:hint="eastAsia" w:ascii="等线" w:hAnsi="等线" w:eastAsia="仿宋_GB2312" w:cs="Times New Roman"/>
              <w:sz w:val="32"/>
              <w:szCs w:val="22"/>
            </w:rPr>
            <w:t>设备恢复期</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_Toc12546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"_Toc25751" </w:instrText>
          </w:r>
          <w:r>
            <w:fldChar w:fldCharType="separate"/>
          </w:r>
          <w:r>
            <w:rPr>
              <w:rFonts w:ascii="等线" w:hAnsi="等线" w:eastAsia="仿宋_GB2312" w:cs="Times New Roman"/>
              <w:sz w:val="32"/>
              <w:szCs w:val="22"/>
            </w:rPr>
            <w:t>2.4</w:t>
          </w:r>
          <w:r>
            <w:rPr>
              <w:rFonts w:hint="eastAsia" w:ascii="等线" w:hAnsi="等线" w:eastAsia="仿宋_GB2312" w:cs="Times New Roman"/>
              <w:sz w:val="32"/>
              <w:szCs w:val="22"/>
            </w:rPr>
            <w:t>特别注意</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_Toc25751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"_Toc22597" </w:instrText>
          </w:r>
          <w:r>
            <w:fldChar w:fldCharType="separate"/>
          </w:r>
          <w:r>
            <w:rPr>
              <w:rFonts w:hint="eastAsia" w:ascii="等线" w:hAnsi="等线" w:eastAsia="仿宋_GB2312" w:cs="Times New Roman"/>
              <w:sz w:val="32"/>
              <w:szCs w:val="22"/>
            </w:rPr>
            <w:t>三、出泥指标及检测方案</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_Toc22597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"_Toc1189" </w:instrText>
          </w:r>
          <w:r>
            <w:fldChar w:fldCharType="separate"/>
          </w:r>
          <w:r>
            <w:rPr>
              <w:rFonts w:ascii="等线" w:hAnsi="等线" w:eastAsia="仿宋_GB2312" w:cs="Times New Roman"/>
              <w:sz w:val="32"/>
              <w:szCs w:val="22"/>
            </w:rPr>
            <w:t>3.1</w:t>
          </w:r>
          <w:r>
            <w:rPr>
              <w:rFonts w:hint="eastAsia" w:ascii="等线" w:hAnsi="等线" w:eastAsia="仿宋_GB2312" w:cs="Times New Roman"/>
              <w:sz w:val="32"/>
              <w:szCs w:val="22"/>
            </w:rPr>
            <w:t>污泥出泥指标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_Toc1189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"_Toc4411" </w:instrText>
          </w:r>
          <w:r>
            <w:fldChar w:fldCharType="separate"/>
          </w:r>
          <w:r>
            <w:rPr>
              <w:rFonts w:ascii="仿宋_GB2312" w:hAnsi="等线" w:eastAsia="仿宋_GB2312" w:cs="Times New Roman"/>
              <w:sz w:val="32"/>
              <w:szCs w:val="22"/>
            </w:rPr>
            <w:t>3</w:t>
          </w:r>
          <w:r>
            <w:rPr>
              <w:rFonts w:hint="eastAsia" w:ascii="仿宋_GB2312" w:hAnsi="等线" w:eastAsia="仿宋_GB2312" w:cs="Times New Roman"/>
              <w:sz w:val="32"/>
              <w:szCs w:val="22"/>
            </w:rPr>
            <w:t>.1.1考核指标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_Toc4411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"_Toc32396" </w:instrText>
          </w:r>
          <w:r>
            <w:fldChar w:fldCharType="separate"/>
          </w:r>
          <w:r>
            <w:rPr>
              <w:rFonts w:ascii="仿宋_GB2312" w:hAnsi="等线" w:eastAsia="仿宋_GB2312" w:cs="Times New Roman"/>
              <w:sz w:val="32"/>
              <w:szCs w:val="22"/>
            </w:rPr>
            <w:t>3</w:t>
          </w:r>
          <w:r>
            <w:rPr>
              <w:rFonts w:hint="eastAsia" w:ascii="仿宋_GB2312" w:hAnsi="等线" w:eastAsia="仿宋_GB2312" w:cs="Times New Roman"/>
              <w:sz w:val="32"/>
              <w:szCs w:val="22"/>
            </w:rPr>
            <w:t>.1.2污泥出泥指标要求</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_Toc32396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"_Toc25808" </w:instrText>
          </w:r>
          <w:r>
            <w:fldChar w:fldCharType="separate"/>
          </w:r>
          <w:r>
            <w:rPr>
              <w:rFonts w:ascii="等线" w:hAnsi="等线" w:eastAsia="仿宋_GB2312" w:cs="Times New Roman"/>
              <w:sz w:val="32"/>
              <w:szCs w:val="22"/>
            </w:rPr>
            <w:t>3.2</w:t>
          </w:r>
          <w:r>
            <w:rPr>
              <w:rFonts w:hint="eastAsia" w:ascii="等线" w:hAnsi="等线" w:eastAsia="仿宋_GB2312" w:cs="Times New Roman"/>
              <w:sz w:val="32"/>
              <w:szCs w:val="22"/>
            </w:rPr>
            <w:t>正式考核期试验取样位置及检测频率</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_Toc25808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12</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"_Toc12560" </w:instrText>
          </w:r>
          <w:r>
            <w:fldChar w:fldCharType="separate"/>
          </w:r>
          <w:r>
            <w:rPr>
              <w:rFonts w:ascii="等线" w:hAnsi="等线" w:eastAsia="仿宋_GB2312" w:cs="Times New Roman"/>
              <w:sz w:val="32"/>
              <w:szCs w:val="22"/>
            </w:rPr>
            <w:t>3.3</w:t>
          </w:r>
          <w:r>
            <w:rPr>
              <w:rFonts w:hint="eastAsia" w:ascii="等线" w:hAnsi="等线" w:eastAsia="仿宋_GB2312" w:cs="Times New Roman"/>
              <w:sz w:val="32"/>
              <w:szCs w:val="22"/>
            </w:rPr>
            <w:t>考核结果判定</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_Toc12560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"_Toc29212" </w:instrText>
          </w:r>
          <w:r>
            <w:fldChar w:fldCharType="separate"/>
          </w:r>
          <w:r>
            <w:rPr>
              <w:rFonts w:ascii="等线" w:hAnsi="等线" w:eastAsia="仿宋_GB2312" w:cs="Times New Roman"/>
              <w:sz w:val="32"/>
              <w:szCs w:val="22"/>
            </w:rPr>
            <w:t>3.3.1</w:t>
          </w:r>
          <w:r>
            <w:rPr>
              <w:rFonts w:hint="eastAsia" w:ascii="等线" w:hAnsi="等线" w:eastAsia="仿宋_GB2312" w:cs="Times New Roman"/>
              <w:sz w:val="32"/>
              <w:szCs w:val="22"/>
            </w:rPr>
            <w:t>考核要求介绍</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_Toc29212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"_Toc5316" </w:instrText>
          </w:r>
          <w:r>
            <w:fldChar w:fldCharType="separate"/>
          </w:r>
          <w:r>
            <w:rPr>
              <w:rFonts w:ascii="等线" w:hAnsi="等线" w:eastAsia="仿宋_GB2312" w:cs="Times New Roman"/>
              <w:sz w:val="32"/>
              <w:szCs w:val="22"/>
            </w:rPr>
            <w:t>3.3.2</w:t>
          </w:r>
          <w:r>
            <w:rPr>
              <w:rFonts w:hint="eastAsia" w:ascii="等线" w:hAnsi="等线" w:eastAsia="仿宋_GB2312" w:cs="Times New Roman"/>
              <w:sz w:val="32"/>
              <w:szCs w:val="22"/>
            </w:rPr>
            <w:t>记录表格</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_Toc5316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16</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840" w:leftChars="400"/>
            <w:rPr>
              <w:rFonts w:hint="eastAsia" w:ascii="等线" w:hAnsi="等线" w:eastAsia="仿宋_GB2312" w:cs="Times New Roman"/>
              <w:sz w:val="32"/>
              <w:szCs w:val="22"/>
            </w:rPr>
          </w:pPr>
          <w:r>
            <w:fldChar w:fldCharType="begin"/>
          </w:r>
          <w:r>
            <w:instrText xml:space="preserve"> HYPERLINK \l "_Toc13784" </w:instrText>
          </w:r>
          <w:r>
            <w:fldChar w:fldCharType="separate"/>
          </w:r>
          <w:r>
            <w:rPr>
              <w:rFonts w:ascii="等线" w:hAnsi="等线" w:eastAsia="仿宋_GB2312" w:cs="Times New Roman"/>
              <w:sz w:val="32"/>
              <w:szCs w:val="22"/>
            </w:rPr>
            <w:t>3.3.3</w:t>
          </w:r>
          <w:r>
            <w:rPr>
              <w:rFonts w:hint="eastAsia" w:ascii="等线" w:hAnsi="等线" w:eastAsia="仿宋_GB2312" w:cs="Times New Roman"/>
              <w:sz w:val="32"/>
              <w:szCs w:val="22"/>
            </w:rPr>
            <w:t>结果判定</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_Toc13784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16</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"_Toc18470" </w:instrText>
          </w:r>
          <w:r>
            <w:fldChar w:fldCharType="separate"/>
          </w:r>
          <w:r>
            <w:rPr>
              <w:rFonts w:ascii="等线" w:hAnsi="等线" w:eastAsia="仿宋_GB2312" w:cs="Times New Roman"/>
              <w:sz w:val="32"/>
              <w:szCs w:val="22"/>
            </w:rPr>
            <w:t>3.4</w:t>
          </w:r>
          <w:r>
            <w:rPr>
              <w:rFonts w:hint="eastAsia" w:ascii="等线" w:hAnsi="等线" w:eastAsia="仿宋_GB2312" w:cs="Times New Roman"/>
              <w:sz w:val="32"/>
              <w:szCs w:val="22"/>
            </w:rPr>
            <w:t>样品保存的有关说明</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_Toc18470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17</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"_Toc16010" </w:instrText>
          </w:r>
          <w:r>
            <w:fldChar w:fldCharType="separate"/>
          </w:r>
          <w:r>
            <w:rPr>
              <w:rFonts w:hint="eastAsia" w:ascii="等线" w:hAnsi="等线" w:eastAsia="仿宋_GB2312" w:cs="Times New Roman"/>
              <w:sz w:val="32"/>
              <w:szCs w:val="22"/>
            </w:rPr>
            <w:t>四、试验风险及处理</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_Toc16010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"_Toc27039" </w:instrText>
          </w:r>
          <w:r>
            <w:fldChar w:fldCharType="separate"/>
          </w:r>
          <w:r>
            <w:rPr>
              <w:rFonts w:ascii="等线" w:hAnsi="等线" w:eastAsia="仿宋_GB2312" w:cs="Times New Roman"/>
              <w:sz w:val="32"/>
              <w:szCs w:val="22"/>
            </w:rPr>
            <w:t>4.1</w:t>
          </w:r>
          <w:r>
            <w:rPr>
              <w:rFonts w:hint="eastAsia" w:ascii="等线" w:hAnsi="等线" w:eastAsia="仿宋_GB2312" w:cs="Times New Roman"/>
              <w:sz w:val="32"/>
              <w:szCs w:val="22"/>
            </w:rPr>
            <w:t>试验过程中的风险及责任</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_Toc27039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ind w:left="420" w:leftChars="200"/>
            <w:rPr>
              <w:rFonts w:hint="eastAsia" w:ascii="等线" w:hAnsi="等线" w:eastAsia="仿宋_GB2312" w:cs="Times New Roman"/>
              <w:sz w:val="32"/>
              <w:szCs w:val="22"/>
            </w:rPr>
          </w:pPr>
          <w:r>
            <w:fldChar w:fldCharType="begin"/>
          </w:r>
          <w:r>
            <w:instrText xml:space="preserve"> HYPERLINK \l "_Toc15119" </w:instrText>
          </w:r>
          <w:r>
            <w:fldChar w:fldCharType="separate"/>
          </w:r>
          <w:r>
            <w:rPr>
              <w:rFonts w:ascii="等线" w:hAnsi="等线" w:eastAsia="仿宋_GB2312" w:cs="Times New Roman"/>
              <w:sz w:val="32"/>
              <w:szCs w:val="22"/>
            </w:rPr>
            <w:t>4.2</w:t>
          </w:r>
          <w:r>
            <w:rPr>
              <w:rFonts w:hint="eastAsia" w:ascii="等线" w:hAnsi="等线" w:eastAsia="仿宋_GB2312" w:cs="Times New Roman"/>
              <w:sz w:val="32"/>
              <w:szCs w:val="22"/>
            </w:rPr>
            <w:t>风险方案</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_Toc15119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18</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"_Toc5732" </w:instrText>
          </w:r>
          <w:r>
            <w:fldChar w:fldCharType="separate"/>
          </w:r>
          <w:r>
            <w:rPr>
              <w:rFonts w:hint="eastAsia" w:ascii="黑体" w:hAnsi="黑体" w:eastAsia="黑体" w:cs="黑体"/>
              <w:sz w:val="32"/>
              <w:szCs w:val="22"/>
            </w:rPr>
            <w:t>附件1</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_Toc5732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19</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"_Toc32358" </w:instrText>
          </w:r>
          <w:r>
            <w:fldChar w:fldCharType="separate"/>
          </w:r>
          <w:r>
            <w:rPr>
              <w:rFonts w:hint="eastAsia" w:ascii="黑体" w:hAnsi="黑体" w:eastAsia="黑体" w:cs="黑体"/>
              <w:sz w:val="32"/>
              <w:szCs w:val="22"/>
            </w:rPr>
            <w:t>附件2</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_Toc32358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20</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"_Toc23953" </w:instrText>
          </w:r>
          <w:r>
            <w:fldChar w:fldCharType="separate"/>
          </w:r>
          <w:r>
            <w:rPr>
              <w:rFonts w:hint="eastAsia" w:ascii="黑体" w:hAnsi="黑体" w:eastAsia="黑体" w:cs="黑体"/>
              <w:sz w:val="32"/>
              <w:szCs w:val="22"/>
            </w:rPr>
            <w:t>附件3</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_Toc23953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26</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tabs>
              <w:tab w:val="right" w:leader="dot" w:pos="8306"/>
            </w:tabs>
            <w:spacing w:line="360" w:lineRule="auto"/>
            <w:rPr>
              <w:rFonts w:hint="eastAsia" w:ascii="等线" w:hAnsi="等线" w:eastAsia="仿宋_GB2312" w:cs="Times New Roman"/>
              <w:sz w:val="32"/>
              <w:szCs w:val="22"/>
            </w:rPr>
          </w:pPr>
          <w:r>
            <w:fldChar w:fldCharType="begin"/>
          </w:r>
          <w:r>
            <w:instrText xml:space="preserve"> HYPERLINK \l "_Toc10987" </w:instrText>
          </w:r>
          <w:r>
            <w:fldChar w:fldCharType="separate"/>
          </w:r>
          <w:r>
            <w:rPr>
              <w:rFonts w:hint="eastAsia" w:ascii="黑体" w:hAnsi="黑体" w:eastAsia="黑体" w:cs="黑体"/>
              <w:sz w:val="32"/>
              <w:szCs w:val="22"/>
            </w:rPr>
            <w:t>附件4</w:t>
          </w:r>
          <w:r>
            <w:rPr>
              <w:rFonts w:ascii="等线" w:hAnsi="等线" w:eastAsia="仿宋_GB2312" w:cs="Times New Roman"/>
              <w:sz w:val="32"/>
              <w:szCs w:val="22"/>
            </w:rPr>
            <w:tab/>
          </w:r>
          <w:r>
            <w:rPr>
              <w:rFonts w:ascii="等线" w:hAnsi="等线" w:eastAsia="仿宋_GB2312" w:cs="Times New Roman"/>
              <w:sz w:val="32"/>
              <w:szCs w:val="22"/>
            </w:rPr>
            <w:fldChar w:fldCharType="begin"/>
          </w:r>
          <w:r>
            <w:rPr>
              <w:rFonts w:ascii="等线" w:hAnsi="等线" w:eastAsia="仿宋_GB2312" w:cs="Times New Roman"/>
              <w:sz w:val="32"/>
              <w:szCs w:val="22"/>
            </w:rPr>
            <w:instrText xml:space="preserve"> PAGEREF _Toc10987 \h </w:instrText>
          </w:r>
          <w:r>
            <w:rPr>
              <w:rFonts w:ascii="等线" w:hAnsi="等线" w:eastAsia="仿宋_GB2312" w:cs="Times New Roman"/>
              <w:sz w:val="32"/>
              <w:szCs w:val="22"/>
            </w:rPr>
            <w:fldChar w:fldCharType="separate"/>
          </w:r>
          <w:r>
            <w:rPr>
              <w:rFonts w:hint="eastAsia" w:ascii="等线" w:hAnsi="等线" w:eastAsia="仿宋_GB2312" w:cs="Times New Roman"/>
              <w:sz w:val="32"/>
              <w:szCs w:val="22"/>
            </w:rPr>
            <w:t>33</w:t>
          </w:r>
          <w:r>
            <w:rPr>
              <w:rFonts w:ascii="等线" w:hAnsi="等线" w:eastAsia="仿宋_GB2312" w:cs="Times New Roman"/>
              <w:sz w:val="32"/>
              <w:szCs w:val="22"/>
            </w:rPr>
            <w:fldChar w:fldCharType="end"/>
          </w:r>
          <w:r>
            <w:rPr>
              <w:rFonts w:ascii="等线" w:hAnsi="等线" w:eastAsia="仿宋_GB2312" w:cs="Times New Roman"/>
              <w:sz w:val="32"/>
              <w:szCs w:val="22"/>
            </w:rPr>
            <w:fldChar w:fldCharType="end"/>
          </w:r>
        </w:p>
        <w:p>
          <w:pPr>
            <w:spacing w:line="360" w:lineRule="auto"/>
            <w:rPr>
              <w:rFonts w:hint="eastAsia" w:ascii="仿宋_GB2312" w:hAnsi="等线" w:eastAsia="仿宋_GB2312" w:cs="Times New Roman"/>
              <w:b/>
              <w:bCs/>
              <w:sz w:val="32"/>
              <w:szCs w:val="22"/>
              <w:lang w:val="zh-CN"/>
            </w:rPr>
          </w:pPr>
          <w:r>
            <w:rPr>
              <w:rFonts w:hint="eastAsia" w:ascii="仿宋_GB2312" w:hAnsi="等线" w:eastAsia="仿宋_GB2312" w:cs="Times New Roman"/>
              <w:bCs/>
              <w:sz w:val="32"/>
              <w:szCs w:val="22"/>
              <w:lang w:val="zh-CN"/>
            </w:rPr>
            <w:fldChar w:fldCharType="end"/>
          </w:r>
        </w:p>
      </w:sdtContent>
    </w:sdt>
    <w:p>
      <w:pPr>
        <w:tabs>
          <w:tab w:val="right" w:leader="dot" w:pos="8306"/>
        </w:tabs>
        <w:spacing w:line="360" w:lineRule="auto"/>
        <w:rPr>
          <w:rFonts w:hint="eastAsia" w:ascii="仿宋_GB2312" w:hAnsi="等线" w:eastAsia="仿宋_GB2312" w:cs="Times New Roman"/>
          <w:sz w:val="32"/>
          <w:szCs w:val="32"/>
        </w:rPr>
      </w:pPr>
    </w:p>
    <w:p>
      <w:pPr>
        <w:rPr>
          <w:rFonts w:ascii="仿宋_GB2312"/>
          <w:szCs w:val="32"/>
        </w:rPr>
        <w:sectPr>
          <w:footerReference r:id="rId5" w:type="default"/>
          <w:pgSz w:w="11906" w:h="16838"/>
          <w:pgMar w:top="1440" w:right="1800" w:bottom="1440" w:left="1800" w:header="851" w:footer="992" w:gutter="0"/>
          <w:pgNumType w:fmt="upperRoman" w:start="1"/>
          <w:cols w:space="425" w:num="1"/>
          <w:docGrid w:type="lines" w:linePitch="312" w:charSpace="0"/>
        </w:sectPr>
      </w:pPr>
    </w:p>
    <w:p>
      <w:pPr>
        <w:keepNext/>
        <w:keepLines/>
        <w:spacing w:line="360" w:lineRule="auto"/>
        <w:outlineLvl w:val="0"/>
        <w:rPr>
          <w:rFonts w:ascii="Times New Roman" w:hAnsi="Times New Roman" w:eastAsia="黑体" w:cs="Times New Roman"/>
          <w:b/>
          <w:kern w:val="44"/>
          <w:sz w:val="32"/>
          <w:szCs w:val="22"/>
        </w:rPr>
      </w:pPr>
      <w:bookmarkStart w:id="0" w:name="_Toc5623"/>
      <w:bookmarkStart w:id="1" w:name="_Toc71483176"/>
      <w:r>
        <w:rPr>
          <w:rFonts w:hint="eastAsia" w:ascii="Times New Roman" w:hAnsi="Times New Roman" w:eastAsia="黑体" w:cs="Times New Roman"/>
          <w:b/>
          <w:kern w:val="44"/>
          <w:sz w:val="32"/>
          <w:szCs w:val="22"/>
        </w:rPr>
        <w:t>一、试验总体情况介绍</w:t>
      </w:r>
      <w:bookmarkEnd w:id="0"/>
      <w:bookmarkEnd w:id="1"/>
    </w:p>
    <w:p>
      <w:pPr>
        <w:keepNext/>
        <w:keepLines/>
        <w:spacing w:line="360" w:lineRule="auto"/>
        <w:outlineLvl w:val="1"/>
        <w:rPr>
          <w:rFonts w:ascii="Arial" w:hAnsi="Arial" w:eastAsia="楷体_GB2312" w:cs="Times New Roman"/>
          <w:b/>
          <w:sz w:val="32"/>
          <w:szCs w:val="22"/>
        </w:rPr>
      </w:pPr>
      <w:bookmarkStart w:id="2" w:name="_Toc71483177"/>
      <w:bookmarkStart w:id="3" w:name="_Toc1179"/>
      <w:r>
        <w:rPr>
          <w:rFonts w:hint="eastAsia" w:ascii="Arial" w:hAnsi="Arial" w:eastAsia="楷体_GB2312" w:cs="Times New Roman"/>
          <w:b/>
          <w:sz w:val="32"/>
          <w:szCs w:val="22"/>
        </w:rPr>
        <w:t>1</w:t>
      </w:r>
      <w:r>
        <w:rPr>
          <w:rFonts w:ascii="Arial" w:hAnsi="Arial" w:eastAsia="楷体_GB2312" w:cs="Times New Roman"/>
          <w:b/>
          <w:sz w:val="32"/>
          <w:szCs w:val="22"/>
        </w:rPr>
        <w:t>.1</w:t>
      </w:r>
      <w:r>
        <w:rPr>
          <w:rFonts w:hint="eastAsia" w:ascii="Arial" w:hAnsi="Arial" w:eastAsia="楷体_GB2312" w:cs="Times New Roman"/>
          <w:b/>
          <w:sz w:val="32"/>
          <w:szCs w:val="22"/>
        </w:rPr>
        <w:t>试验背景及目的</w:t>
      </w:r>
      <w:bookmarkEnd w:id="2"/>
      <w:bookmarkEnd w:id="3"/>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市政污泥产量巨大且难以处理处置。广州净水公司在广州市中心城区共拥有13座市政净水厂，污水处理总量达496万吨/日，相应的污泥产量超过3600吨/日（含水率80%计算）。为探索高效的污泥脱水关键技术，现开展生产性试验，利用多种市售药剂在污泥处理干化车间进行试验，遴选出合格的潜在的药剂，为污泥处理作技术储备。</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本试验要求申请人在污泥深度浓缩系统及污泥脱水干化系统1条完全独立生产线（包括但不仅限于整套工艺流程中的污泥调质系统、污泥脱水系统、低温干化系统和成品污泥贮存系统，以及各环节相配套的输送设备）投加相应药剂，能满足及适应原有污泥脱水干化系统及其配套设备，对污水（污水来源：生活污水、含初雨等）处理运行所产生的污泥进行脱水、干化处理，生产出符合要求的干化污泥。</w:t>
      </w:r>
    </w:p>
    <w:p>
      <w:pPr>
        <w:keepNext/>
        <w:keepLines/>
        <w:spacing w:line="360" w:lineRule="auto"/>
        <w:outlineLvl w:val="1"/>
        <w:rPr>
          <w:rFonts w:ascii="Arial" w:hAnsi="Arial" w:eastAsia="楷体_GB2312" w:cs="Times New Roman"/>
          <w:b/>
          <w:sz w:val="32"/>
          <w:szCs w:val="22"/>
        </w:rPr>
      </w:pPr>
      <w:bookmarkStart w:id="4" w:name="_Toc71483178"/>
      <w:bookmarkStart w:id="5" w:name="_Toc15675"/>
      <w:r>
        <w:rPr>
          <w:rFonts w:hint="eastAsia" w:ascii="Arial" w:hAnsi="Arial" w:eastAsia="楷体_GB2312" w:cs="Times New Roman"/>
          <w:b/>
          <w:sz w:val="32"/>
          <w:szCs w:val="22"/>
        </w:rPr>
        <w:t>1.2</w:t>
      </w:r>
      <w:bookmarkEnd w:id="4"/>
      <w:r>
        <w:rPr>
          <w:rFonts w:hint="eastAsia" w:ascii="Arial" w:hAnsi="Arial" w:eastAsia="楷体_GB2312" w:cs="Times New Roman"/>
          <w:b/>
          <w:sz w:val="32"/>
          <w:szCs w:val="22"/>
        </w:rPr>
        <w:t>工作分工</w:t>
      </w:r>
      <w:bookmarkEnd w:id="5"/>
    </w:p>
    <w:p>
      <w:pPr>
        <w:keepNext/>
        <w:keepLines/>
        <w:spacing w:line="360" w:lineRule="auto"/>
        <w:outlineLvl w:val="2"/>
        <w:rPr>
          <w:rFonts w:ascii="Times New Roman" w:hAnsi="Times New Roman" w:eastAsia="仿宋_GB2312" w:cs="Times New Roman"/>
          <w:b/>
          <w:sz w:val="32"/>
          <w:szCs w:val="22"/>
        </w:rPr>
      </w:pPr>
      <w:bookmarkStart w:id="6" w:name="_Toc29154"/>
      <w:r>
        <w:rPr>
          <w:rFonts w:hint="eastAsia" w:ascii="Times New Roman" w:hAnsi="Times New Roman" w:eastAsia="仿宋_GB2312" w:cs="Times New Roman"/>
          <w:b/>
          <w:sz w:val="32"/>
          <w:szCs w:val="22"/>
        </w:rPr>
        <w:t>1</w:t>
      </w:r>
      <w:r>
        <w:rPr>
          <w:rFonts w:ascii="Times New Roman" w:hAnsi="Times New Roman" w:eastAsia="仿宋_GB2312" w:cs="Times New Roman"/>
          <w:b/>
          <w:sz w:val="32"/>
          <w:szCs w:val="22"/>
        </w:rPr>
        <w:t>.2.1</w:t>
      </w:r>
      <w:r>
        <w:rPr>
          <w:rFonts w:hint="eastAsia" w:ascii="Times New Roman" w:hAnsi="Times New Roman" w:eastAsia="仿宋_GB2312" w:cs="Times New Roman"/>
          <w:b/>
          <w:sz w:val="32"/>
          <w:szCs w:val="22"/>
        </w:rPr>
        <w:t>广州净水公司</w:t>
      </w:r>
      <w:bookmarkEnd w:id="6"/>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负责除污泥深度浓缩系统外全生产线设备的操作（如申请人的操作人员无操作能力或资格的，可全权委托广州净水公司开展污泥深度浓缩系统设备操作工作），试验过程中按申请人要求提供过程中污泥样品用于药剂的调整；</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免费提供污泥样品（申请人需提供承诺函，保证仅供污泥调理试验用，不做其它用途，且不会以任何方式向外界公布或透露涉及到的数据，如有违反，须承担一切责任）。样品仅供参考，广州净水公司不保证样品具有代表性，对于试验期的泥质变化不承担任何责任；</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（3）考核准备期第一天，广州净水公司展示生产全流程，提供成品泥样品供申请人用于验证设备性能；</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（4）广州净水公司提供污泥深度浓缩系统操作运行规程（仅供申请人进行实际操作的参考，不能完全代替生产检验数据及要求）；</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（5）广州净水公司负责承担试验周期内水、电、样品检测费用。</w:t>
      </w:r>
    </w:p>
    <w:p>
      <w:pPr>
        <w:keepNext/>
        <w:keepLines/>
        <w:spacing w:line="360" w:lineRule="auto"/>
        <w:outlineLvl w:val="2"/>
        <w:rPr>
          <w:rFonts w:hint="eastAsia" w:ascii="仿宋_GB2312" w:hAnsi="仿宋_GB2312" w:eastAsia="仿宋_GB2312" w:cs="仿宋_GB2312"/>
          <w:b/>
          <w:sz w:val="32"/>
          <w:szCs w:val="22"/>
        </w:rPr>
      </w:pPr>
      <w:bookmarkStart w:id="7" w:name="_Toc13253"/>
      <w:r>
        <w:rPr>
          <w:rFonts w:hint="eastAsia" w:ascii="仿宋_GB2312" w:hAnsi="仿宋_GB2312" w:eastAsia="仿宋_GB2312" w:cs="仿宋_GB2312"/>
          <w:b/>
          <w:sz w:val="32"/>
          <w:szCs w:val="22"/>
        </w:rPr>
        <w:t>1.2.2申请人</w:t>
      </w:r>
      <w:bookmarkEnd w:id="7"/>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（1）自行提供试验所需的药剂（含运输、储存保管、投加使用等工作）；</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负责污泥深度浓缩系统的操作、现场清洁、试验结束后的深度清洗及复原等工作，配备满足试验生产需要的设备操作人员及管理人员（操作人员须按项目要求持证上岗，包括但不限于低压电工证等，如申请人的操作人员无操作能力或资格的，可全权委托广州净水公司开展污泥深度浓缩系统设备操作工作）并按国家、省、市及广州净水公司有关要求为设备、雇员购买保险；由申请人为设备购买保险，由广州净水公司配合提供相关资料（部分涉及保密范围的信息除外），保额不低于 1000 万元。若申请人因各种原因无法购买保险，广州净水公司公司可代为购买，所需费用由申请人承担，保额不低于1000万元。周期内出现设备损坏情况的，由申请人承担维修或更换责任。</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（3）因生产线设备由广州净水公司提供，申请人应承担试验周期内生产线设备的维修维护保养、耗材更换等的费用，提供200万元履约保证金。</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4）试验开始前需通过现场确认（可自带设备或利用现场设备对成品泥进行检测）污泥处理系统设备性能并签署《设备性能完好确认书》，试验结束后经广州净水公司检验确认后，双方共同签署《设备性能完好确认书》。</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5）申请人在试验期间应严格遵守国家规定的相关法律法规，遵守设备生产规章制度和防护措施及广州净水公司安全生产相关规章制度。若违反以上规定，由此造成的所有损失，均由申请人承担相关责任,且广州净水公司有权终止试验并提取全部履约保证金。</w:t>
      </w:r>
    </w:p>
    <w:p>
      <w:pPr>
        <w:keepNext/>
        <w:keepLines/>
        <w:spacing w:line="360" w:lineRule="auto"/>
        <w:outlineLvl w:val="1"/>
        <w:rPr>
          <w:rFonts w:ascii="Arial" w:hAnsi="Arial" w:eastAsia="楷体_GB2312" w:cs="Times New Roman"/>
          <w:b/>
          <w:sz w:val="32"/>
          <w:szCs w:val="22"/>
        </w:rPr>
      </w:pPr>
      <w:bookmarkStart w:id="8" w:name="_Toc7237"/>
      <w:bookmarkStart w:id="9" w:name="_Toc71483180"/>
      <w:r>
        <w:rPr>
          <w:rFonts w:hint="eastAsia" w:ascii="Arial" w:hAnsi="Arial" w:eastAsia="楷体_GB2312" w:cs="Times New Roman"/>
          <w:b/>
          <w:sz w:val="32"/>
          <w:szCs w:val="22"/>
        </w:rPr>
        <w:t>1.3试验地点</w:t>
      </w:r>
      <w:bookmarkEnd w:id="8"/>
      <w:bookmarkEnd w:id="9"/>
    </w:p>
    <w:p>
      <w:pPr>
        <w:spacing w:line="360" w:lineRule="auto"/>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试验地点位于西朗污水处理厂一期污泥干化车间，</w:t>
      </w:r>
      <w:r>
        <w:rPr>
          <w:rFonts w:ascii="仿宋_GB2312" w:hAnsi="仿宋_GB2312" w:eastAsia="仿宋_GB2312" w:cs="仿宋_GB2312"/>
          <w:sz w:val="32"/>
          <w:szCs w:val="32"/>
        </w:rPr>
        <w:t>试验涉及的相关设备及现场条件以现场实际情况为准。</w:t>
      </w:r>
    </w:p>
    <w:p>
      <w:pPr>
        <w:keepNext/>
        <w:keepLines/>
        <w:spacing w:line="360" w:lineRule="auto"/>
        <w:outlineLvl w:val="1"/>
        <w:rPr>
          <w:rFonts w:ascii="Arial" w:hAnsi="Arial" w:eastAsia="楷体_GB2312" w:cs="Times New Roman"/>
          <w:b/>
          <w:sz w:val="32"/>
          <w:szCs w:val="22"/>
        </w:rPr>
      </w:pPr>
      <w:bookmarkStart w:id="10" w:name="_Toc12091"/>
      <w:bookmarkStart w:id="11" w:name="_Toc71483181"/>
      <w:r>
        <w:rPr>
          <w:rFonts w:hint="eastAsia" w:ascii="Arial" w:hAnsi="Arial" w:eastAsia="楷体_GB2312" w:cs="Times New Roman"/>
          <w:b/>
          <w:sz w:val="32"/>
          <w:szCs w:val="22"/>
        </w:rPr>
        <w:t>1.4试验工艺流程</w:t>
      </w:r>
      <w:bookmarkEnd w:id="10"/>
      <w:bookmarkEnd w:id="11"/>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污泥处理系统主要由污泥深度浓缩系统、板框脱水系统、低温干化系统、压缩空气系统、气提式输送系统等组成。一期生产线剩余污泥经储泥池，通过污泥泵注入污泥调质罐，投加药剂调理，反应完全的污泥经由高、低压注泥泵压入板框压滤机脱水，板框出泥经由螺旋输送机进入下部干化机进行干化，干化后的污泥再由气体式输送系统装入料仓，之后外运。</w:t>
      </w:r>
    </w:p>
    <w:p>
      <w:pPr>
        <w:keepNext/>
        <w:keepLines/>
        <w:spacing w:line="360" w:lineRule="auto"/>
        <w:outlineLvl w:val="1"/>
        <w:rPr>
          <w:rFonts w:ascii="Arial" w:hAnsi="Arial" w:eastAsia="楷体_GB2312" w:cs="Times New Roman"/>
          <w:b/>
          <w:sz w:val="32"/>
          <w:szCs w:val="22"/>
        </w:rPr>
      </w:pPr>
      <w:bookmarkStart w:id="12" w:name="_Toc71483182"/>
      <w:bookmarkStart w:id="13" w:name="_Toc19497"/>
      <w:r>
        <w:rPr>
          <w:rFonts w:hint="eastAsia" w:ascii="Arial" w:hAnsi="Arial" w:eastAsia="楷体_GB2312" w:cs="Times New Roman"/>
          <w:b/>
          <w:sz w:val="32"/>
          <w:szCs w:val="22"/>
        </w:rPr>
        <w:t>1.5污泥深度浓缩系统的主要设备</w:t>
      </w:r>
      <w:bookmarkEnd w:id="12"/>
      <w:r>
        <w:rPr>
          <w:rFonts w:hint="eastAsia" w:ascii="Arial" w:hAnsi="Arial" w:eastAsia="楷体_GB2312" w:cs="Times New Roman"/>
          <w:b/>
          <w:sz w:val="32"/>
          <w:szCs w:val="22"/>
        </w:rPr>
        <w:t>及主要指标</w:t>
      </w:r>
      <w:bookmarkEnd w:id="13"/>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浓缩反应罐，搅拌器，药剂投加罐，隔膜计量药泵。</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本项目浓缩反应罐只有2个药剂入口，2#、3#药剂投加罐共用一台2000L/h隔膜计量药泵，4#、5#药剂投加罐共用一台2000L/h隔膜计量药泵。</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其中：</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（1）加药管道材质为PVC，加药泵为隔膜计量泵，可耐酸碱，具体请参照产品型号。</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（2）调理罐内搅拌机电机功率为22KW，转数1440r/min，配减速机BLD5-87-22，桨叶式三层，桨叶直径3.7m，搅拌轴直径100mm，搅拌叶宽100mm。不具备调频功能。</w:t>
      </w:r>
    </w:p>
    <w:p>
      <w:pPr>
        <w:keepNext/>
        <w:keepLines/>
        <w:spacing w:line="360" w:lineRule="auto"/>
        <w:outlineLvl w:val="1"/>
        <w:rPr>
          <w:rFonts w:ascii="Arial" w:hAnsi="Arial" w:eastAsia="楷体_GB2312" w:cs="Times New Roman"/>
          <w:b/>
          <w:sz w:val="32"/>
          <w:szCs w:val="22"/>
        </w:rPr>
      </w:pPr>
      <w:bookmarkStart w:id="14" w:name="_Toc604"/>
      <w:r>
        <w:rPr>
          <w:rFonts w:hint="eastAsia" w:ascii="Arial" w:hAnsi="Arial" w:eastAsia="楷体_GB2312" w:cs="Times New Roman"/>
          <w:b/>
          <w:sz w:val="32"/>
          <w:szCs w:val="22"/>
        </w:rPr>
        <w:t>1.6关于试验过程中取样问题</w:t>
      </w:r>
      <w:bookmarkEnd w:id="14"/>
    </w:p>
    <w:p>
      <w:pPr>
        <w:spacing w:line="360" w:lineRule="auto"/>
        <w:ind w:firstLine="640" w:firstLineChars="200"/>
        <w:rPr>
          <w:rFonts w:hint="eastAsia" w:ascii="等线" w:hAnsi="等线" w:eastAsia="仿宋_GB2312" w:cs="Times New Roman"/>
          <w:sz w:val="32"/>
          <w:szCs w:val="22"/>
        </w:rPr>
      </w:pPr>
      <w:r>
        <w:rPr>
          <w:rFonts w:hint="eastAsia" w:ascii="仿宋_GB2312" w:hAnsi="仿宋_GB2312" w:eastAsia="仿宋_GB2312" w:cs="仿宋_GB2312"/>
          <w:sz w:val="32"/>
          <w:szCs w:val="22"/>
        </w:rPr>
        <w:t>公开征集及试验期间，申请人在预约时间内，可携带取样承诺函及相关必要设备直接前往西朗净水厂进行取样工作，单一单位在一个周期内取样次数不得超过5次，每日取样不超过1次，单次取样不超过10L，总取样数量不超过50L。</w:t>
      </w:r>
    </w:p>
    <w:p>
      <w:pPr>
        <w:widowControl/>
        <w:sectPr>
          <w:footerReference r:id="rId6" w:type="default"/>
          <w:pgSz w:w="11906" w:h="16838"/>
          <w:pgMar w:top="1440" w:right="1800" w:bottom="1440" w:left="1800" w:header="851" w:footer="992" w:gutter="0"/>
          <w:pgNumType w:start="1"/>
          <w:cols w:space="425" w:num="1"/>
          <w:docGrid w:type="lines" w:linePitch="312" w:charSpace="0"/>
        </w:sectPr>
      </w:pPr>
      <w:bookmarkStart w:id="15" w:name="_Toc71483186"/>
    </w:p>
    <w:p>
      <w:pPr>
        <w:keepNext/>
        <w:keepLines/>
        <w:spacing w:line="360" w:lineRule="auto"/>
        <w:outlineLvl w:val="0"/>
        <w:rPr>
          <w:rFonts w:ascii="Times New Roman" w:hAnsi="Times New Roman" w:eastAsia="黑体" w:cs="Times New Roman"/>
          <w:b/>
          <w:kern w:val="44"/>
          <w:sz w:val="32"/>
          <w:szCs w:val="22"/>
        </w:rPr>
      </w:pPr>
      <w:bookmarkStart w:id="16" w:name="_Toc19837"/>
      <w:r>
        <w:rPr>
          <w:rFonts w:hint="eastAsia" w:ascii="Times New Roman" w:hAnsi="Times New Roman" w:eastAsia="黑体" w:cs="Times New Roman"/>
          <w:b/>
          <w:kern w:val="44"/>
          <w:sz w:val="32"/>
          <w:szCs w:val="22"/>
        </w:rPr>
        <w:t>二、试验流程安排</w:t>
      </w:r>
      <w:bookmarkEnd w:id="15"/>
      <w:bookmarkEnd w:id="16"/>
    </w:p>
    <w:p>
      <w:pPr>
        <w:spacing w:line="360" w:lineRule="auto"/>
        <w:jc w:val="center"/>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表2-1 试验流程安排表</w:t>
      </w:r>
    </w:p>
    <w:tbl>
      <w:tblPr>
        <w:tblStyle w:val="15"/>
        <w:tblW w:w="138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4253"/>
        <w:gridCol w:w="3543"/>
        <w:gridCol w:w="4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工作安排</w:t>
            </w:r>
          </w:p>
        </w:tc>
        <w:tc>
          <w:tcPr>
            <w:tcW w:w="4253"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工作内容</w:t>
            </w:r>
          </w:p>
        </w:tc>
        <w:tc>
          <w:tcPr>
            <w:tcW w:w="3543"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目的</w:t>
            </w:r>
          </w:p>
        </w:tc>
        <w:tc>
          <w:tcPr>
            <w:tcW w:w="4820" w:type="dxa"/>
          </w:tcPr>
          <w:p>
            <w:pPr>
              <w:jc w:val="cente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试验前工作流程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摇珠后</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广州净水公司发出考核通知书</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通知申请人进行资料准备及提交工作</w:t>
            </w:r>
          </w:p>
        </w:tc>
        <w:tc>
          <w:tcPr>
            <w:tcW w:w="4820" w:type="dxa"/>
          </w:tcPr>
          <w:p>
            <w:pPr>
              <w:rPr>
                <w:rFonts w:hint="eastAsia" w:ascii="仿宋_GB2312" w:hAnsi="仿宋_GB2312" w:eastAsia="仿宋_GB2312" w:cs="仿宋_GB2312"/>
                <w:sz w:val="24"/>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15日内</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申请人提供资料</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申请人资格验证</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延期未交的，视为放弃试验资格。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确认资料</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广州净水公司确认</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确认申请人符合入场条件</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资料不符合要求的，视为放弃试验资格。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考核准备期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第1日</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广州净水公司展示生产流程，申请人自带设备对成品泥进行检测，验证设备性能，双方签订</w:t>
            </w:r>
            <w:r>
              <w:rPr>
                <w:rFonts w:hint="eastAsia" w:ascii="仿宋_GB2312" w:hAnsi="仿宋_GB2312" w:eastAsia="仿宋_GB2312" w:cs="仿宋_GB2312"/>
                <w:kern w:val="0"/>
                <w:sz w:val="24"/>
              </w:rPr>
              <w:t>《设备性能完好确认书》</w:t>
            </w:r>
            <w:r>
              <w:rPr>
                <w:rFonts w:hint="eastAsia" w:ascii="仿宋_GB2312" w:hAnsi="仿宋_GB2312" w:eastAsia="仿宋_GB2312" w:cs="仿宋_GB2312"/>
                <w:sz w:val="24"/>
                <w:szCs w:val="22"/>
              </w:rPr>
              <w:t>。</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申请人了解工艺流程，确认设备性能。</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拒绝签署</w:t>
            </w:r>
            <w:r>
              <w:rPr>
                <w:rFonts w:hint="eastAsia" w:ascii="仿宋_GB2312" w:hAnsi="仿宋_GB2312" w:eastAsia="仿宋_GB2312" w:cs="仿宋_GB2312"/>
                <w:kern w:val="0"/>
                <w:sz w:val="24"/>
              </w:rPr>
              <w:t>《设备性能完好确认书》的，视为放弃试验资格。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第2-7日</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申请人熟悉现场，通过试验调整药剂配方，广州进水公司根据申请人要求提供污泥样品，本阶段不做考核。</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筛选出一种或多种满足要求的药剂。</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因申请人原因造成设备出现故障且在考核准备期内未能修复的，试验周期提前结束，试验失败；</w:t>
            </w:r>
          </w:p>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申请人可随时申请跳过准备期，于下一个自然日进入正式考核期。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正式考核期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第8-12日</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正式开启5个自然日满负荷运行考核，由广州净水公司委托的检测单位负责检测考核工作。申请人达到考核期要求，考核通过。</w:t>
            </w:r>
          </w:p>
        </w:tc>
        <w:tc>
          <w:tcPr>
            <w:tcW w:w="354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验证药剂是否稳定、高质量地满足生产条件</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若申请人在此期间被判断为不通过，需立即终止试验，试验周期提前结束，试验药剂厂商试验失败。申请人应无条件接受广州净水公司对设备的操作。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87" w:type="dxa"/>
            <w:gridSpan w:val="4"/>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设备恢复及验证期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考核期后</w:t>
            </w:r>
          </w:p>
        </w:tc>
        <w:tc>
          <w:tcPr>
            <w:tcW w:w="4253"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广州净水公司对设备进行性能验证，经验证设备性能完好后，双方签署《设备性能完好确认书》，广州净水公司于30个自然日内无息返还履约保证金。</w:t>
            </w:r>
          </w:p>
        </w:tc>
        <w:tc>
          <w:tcPr>
            <w:tcW w:w="3543" w:type="dxa"/>
          </w:tcPr>
          <w:p>
            <w:pPr>
              <w:rPr>
                <w:rFonts w:hint="eastAsia" w:ascii="仿宋_GB2312" w:hAnsi="仿宋_GB2312" w:eastAsia="仿宋_GB2312" w:cs="仿宋_GB2312"/>
                <w:sz w:val="24"/>
                <w:szCs w:val="22"/>
              </w:rPr>
            </w:pPr>
          </w:p>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验证设备性能是否完好。</w:t>
            </w:r>
          </w:p>
        </w:tc>
        <w:tc>
          <w:tcPr>
            <w:tcW w:w="4820" w:type="dxa"/>
          </w:tcPr>
          <w:p>
            <w:pPr>
              <w:rPr>
                <w:rFonts w:hint="eastAsia" w:ascii="仿宋_GB2312" w:hAnsi="仿宋_GB2312" w:eastAsia="仿宋_GB2312" w:cs="仿宋_GB2312"/>
                <w:sz w:val="24"/>
                <w:szCs w:val="22"/>
              </w:rPr>
            </w:pPr>
            <w:r>
              <w:rPr>
                <w:rFonts w:hint="eastAsia" w:ascii="仿宋_GB2312" w:hAnsi="仿宋_GB2312" w:eastAsia="仿宋_GB2312" w:cs="仿宋_GB2312"/>
                <w:sz w:val="24"/>
                <w:szCs w:val="22"/>
              </w:rPr>
              <w:t>申请人应承担设备恢复及验证期内设备的维护维修及耗材更换费用，直至双方签署《设备性能完好确认书》。</w:t>
            </w:r>
          </w:p>
        </w:tc>
      </w:tr>
    </w:tbl>
    <w:p>
      <w:pPr>
        <w:sectPr>
          <w:pgSz w:w="16838" w:h="11906" w:orient="landscape"/>
          <w:pgMar w:top="1800" w:right="1440" w:bottom="1800" w:left="1440" w:header="851" w:footer="992" w:gutter="0"/>
          <w:cols w:space="425" w:num="1"/>
          <w:docGrid w:type="lines" w:linePitch="435" w:charSpace="0"/>
        </w:sectPr>
      </w:pPr>
    </w:p>
    <w:p>
      <w:pPr>
        <w:keepNext/>
        <w:keepLines/>
        <w:spacing w:line="360" w:lineRule="auto"/>
        <w:outlineLvl w:val="1"/>
        <w:rPr>
          <w:rFonts w:ascii="Arial" w:hAnsi="Arial" w:eastAsia="楷体_GB2312" w:cs="Times New Roman"/>
          <w:b/>
          <w:sz w:val="32"/>
          <w:szCs w:val="22"/>
        </w:rPr>
      </w:pPr>
      <w:bookmarkStart w:id="17" w:name="_Toc9442"/>
      <w:bookmarkStart w:id="18" w:name="_Toc71483187"/>
      <w:r>
        <w:rPr>
          <w:rFonts w:hint="eastAsia" w:ascii="Arial" w:hAnsi="Arial" w:eastAsia="楷体_GB2312" w:cs="Times New Roman"/>
          <w:b/>
          <w:sz w:val="32"/>
          <w:szCs w:val="22"/>
        </w:rPr>
        <w:t>2.1试验前工作流程</w:t>
      </w:r>
      <w:bookmarkEnd w:id="17"/>
      <w:bookmarkEnd w:id="18"/>
    </w:p>
    <w:p>
      <w:pPr>
        <w:spacing w:line="360" w:lineRule="auto"/>
        <w:ind w:firstLine="640" w:firstLineChars="200"/>
        <w:rPr>
          <w:rFonts w:hint="eastAsia" w:ascii="仿宋_GB2312" w:hAnsi="等线" w:eastAsia="仿宋_GB2312" w:cs="Times New Roman"/>
          <w:sz w:val="32"/>
          <w:szCs w:val="22"/>
        </w:rPr>
      </w:pPr>
      <w:r>
        <w:rPr>
          <w:rFonts w:hint="eastAsia" w:ascii="仿宋_GB2312" w:hAnsi="等线" w:eastAsia="仿宋_GB2312" w:cs="Times New Roman"/>
          <w:sz w:val="32"/>
          <w:szCs w:val="22"/>
        </w:rPr>
        <w:t>本次征集时间为3</w:t>
      </w:r>
      <w:r>
        <w:rPr>
          <w:rFonts w:ascii="仿宋_GB2312" w:hAnsi="等线" w:eastAsia="仿宋_GB2312" w:cs="Times New Roman"/>
          <w:sz w:val="32"/>
          <w:szCs w:val="22"/>
        </w:rPr>
        <w:t>0</w:t>
      </w:r>
      <w:r>
        <w:rPr>
          <w:rFonts w:hint="eastAsia" w:ascii="仿宋_GB2312" w:hAnsi="等线" w:eastAsia="仿宋_GB2312" w:cs="Times New Roman"/>
          <w:sz w:val="32"/>
          <w:szCs w:val="22"/>
        </w:rPr>
        <w:t>个自然日，申请人公示完成后，采取摇珠的方式确定试验顺序，广州净水公司依照摇珠顺序及试验进程依次向试验申请人发出考核通知书。申请人应于收到通知书后</w:t>
      </w:r>
      <w:r>
        <w:rPr>
          <w:rFonts w:ascii="仿宋_GB2312" w:hAnsi="等线" w:eastAsia="仿宋_GB2312" w:cs="Times New Roman"/>
          <w:sz w:val="32"/>
          <w:szCs w:val="22"/>
        </w:rPr>
        <w:t>15日内</w:t>
      </w:r>
      <w:r>
        <w:rPr>
          <w:rFonts w:hint="eastAsia" w:ascii="仿宋_GB2312" w:hAnsi="等线" w:eastAsia="仿宋_GB2312" w:cs="Times New Roman"/>
          <w:sz w:val="32"/>
          <w:szCs w:val="22"/>
        </w:rPr>
        <w:t>，向广州净水公司提供</w:t>
      </w:r>
      <w:r>
        <w:rPr>
          <w:rFonts w:ascii="仿宋_GB2312" w:hAnsi="等线" w:eastAsia="仿宋_GB2312" w:cs="Times New Roman"/>
          <w:sz w:val="32"/>
          <w:szCs w:val="22"/>
        </w:rPr>
        <w:t>200万元履约保证金、保险合同复印件、《危险品经营许可证》及有效的易制毒备案证明（如药剂含有国家规定的危险品或剧毒品的）</w:t>
      </w:r>
      <w:r>
        <w:rPr>
          <w:rFonts w:hint="eastAsia" w:ascii="仿宋_GB2312" w:hAnsi="等线" w:eastAsia="仿宋_GB2312" w:cs="Times New Roman"/>
          <w:sz w:val="32"/>
          <w:szCs w:val="22"/>
        </w:rPr>
        <w:t>、风险方案</w:t>
      </w:r>
      <w:r>
        <w:rPr>
          <w:rFonts w:ascii="仿宋_GB2312" w:hAnsi="等线" w:eastAsia="仿宋_GB2312" w:cs="Times New Roman"/>
          <w:sz w:val="32"/>
          <w:szCs w:val="22"/>
        </w:rPr>
        <w:t>等文件，否则视为退出试验。</w:t>
      </w:r>
    </w:p>
    <w:p>
      <w:pPr>
        <w:spacing w:line="360" w:lineRule="auto"/>
        <w:ind w:firstLine="640" w:firstLineChars="200"/>
        <w:rPr>
          <w:rFonts w:hint="eastAsia" w:ascii="仿宋_GB2312" w:hAnsi="等线" w:eastAsia="仿宋_GB2312" w:cs="Times New Roman"/>
          <w:sz w:val="32"/>
          <w:szCs w:val="22"/>
        </w:rPr>
      </w:pPr>
      <w:r>
        <w:rPr>
          <w:rFonts w:hint="eastAsia" w:ascii="仿宋_GB2312" w:hAnsi="等线" w:eastAsia="仿宋_GB2312" w:cs="Times New Roman"/>
          <w:sz w:val="32"/>
          <w:szCs w:val="22"/>
        </w:rPr>
        <w:t>广州净水公司确认上述材料后向申请人发出入场通知书，申请人未按照入场通知书确定的时间进场的，视为申请人自愿退出试验，本试验提前终止。</w:t>
      </w:r>
    </w:p>
    <w:p>
      <w:pPr>
        <w:keepNext/>
        <w:keepLines/>
        <w:spacing w:line="360" w:lineRule="auto"/>
        <w:outlineLvl w:val="1"/>
        <w:rPr>
          <w:rFonts w:ascii="Arial" w:hAnsi="Arial" w:eastAsia="楷体_GB2312" w:cs="Times New Roman"/>
          <w:b/>
          <w:sz w:val="32"/>
          <w:szCs w:val="22"/>
        </w:rPr>
      </w:pPr>
      <w:bookmarkStart w:id="19" w:name="_Toc71483188"/>
      <w:bookmarkStart w:id="20" w:name="_Toc11912"/>
      <w:r>
        <w:rPr>
          <w:rFonts w:hint="eastAsia" w:ascii="Arial" w:hAnsi="Arial" w:eastAsia="楷体_GB2312" w:cs="Times New Roman"/>
          <w:b/>
          <w:sz w:val="32"/>
          <w:szCs w:val="22"/>
        </w:rPr>
        <w:t>2.2试验周期</w:t>
      </w:r>
      <w:bookmarkEnd w:id="19"/>
      <w:bookmarkEnd w:id="20"/>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单个申请人试验周期为12个自然日，分7天考核准备期与5天正式考核期，考核准备期旨在筛选出一种或多种满足生产要求的药剂，正式考核期旨在通过120小时满负荷运行对筛选出的药剂进行验证。两阶段均在西朗公司一期干化车间进行。试验周期内，申请人自愿退出试验的，可以书面形式向广州净水公司提出退出申请，经广州净水公司同意并签署《设备性能完好确认书》后，本试验提前终止。</w:t>
      </w:r>
    </w:p>
    <w:p>
      <w:pPr>
        <w:keepNext/>
        <w:keepLines/>
        <w:spacing w:line="360" w:lineRule="auto"/>
        <w:outlineLvl w:val="2"/>
        <w:rPr>
          <w:rFonts w:hint="eastAsia" w:ascii="仿宋_GB2312" w:hAnsi="仿宋_GB2312" w:eastAsia="仿宋_GB2312" w:cs="仿宋_GB2312"/>
          <w:b/>
          <w:sz w:val="32"/>
          <w:szCs w:val="22"/>
        </w:rPr>
      </w:pPr>
      <w:bookmarkStart w:id="21" w:name="_Toc71483189"/>
      <w:bookmarkStart w:id="22" w:name="_Toc29574"/>
      <w:r>
        <w:rPr>
          <w:rFonts w:hint="eastAsia" w:ascii="仿宋_GB2312" w:hAnsi="仿宋_GB2312" w:eastAsia="仿宋_GB2312" w:cs="仿宋_GB2312"/>
          <w:b/>
          <w:sz w:val="32"/>
          <w:szCs w:val="22"/>
        </w:rPr>
        <w:t>2.2.1考核准备期</w:t>
      </w:r>
      <w:bookmarkEnd w:id="21"/>
      <w:bookmarkEnd w:id="22"/>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考核准备期第1天由申请人现场确认污泥处理系统设备性能后，双方签署《设备性能完好确认书》，申请人未签署的，视为申请人自愿退出试验，本试验提前终止。</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考核准备期第2-7天内，申请人熟悉现场状况，调整药剂配方，通过试验筛选出一种或多种满足要求的药剂，若因申请人原因造成设备出现故障且在考核准备期内未能修复的，本试验提前终止。</w:t>
      </w:r>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考核准备期内，申请人可随时申请跳过准备期，于下一个自然日进入正式考核期。</w:t>
      </w:r>
    </w:p>
    <w:p>
      <w:pPr>
        <w:keepNext/>
        <w:keepLines/>
        <w:spacing w:line="360" w:lineRule="auto"/>
        <w:outlineLvl w:val="2"/>
        <w:rPr>
          <w:rFonts w:hint="eastAsia" w:ascii="仿宋_GB2312" w:hAnsi="仿宋_GB2312" w:eastAsia="仿宋_GB2312" w:cs="仿宋_GB2312"/>
          <w:b/>
          <w:sz w:val="32"/>
          <w:szCs w:val="22"/>
        </w:rPr>
      </w:pPr>
      <w:bookmarkStart w:id="23" w:name="_Toc2669"/>
      <w:bookmarkStart w:id="24" w:name="_Toc71483190"/>
      <w:r>
        <w:rPr>
          <w:rFonts w:hint="eastAsia" w:ascii="仿宋_GB2312" w:hAnsi="仿宋_GB2312" w:eastAsia="仿宋_GB2312" w:cs="仿宋_GB2312"/>
          <w:b/>
          <w:sz w:val="32"/>
          <w:szCs w:val="22"/>
        </w:rPr>
        <w:t>2.2.2正式考核期</w:t>
      </w:r>
      <w:bookmarkEnd w:id="23"/>
      <w:bookmarkEnd w:id="24"/>
    </w:p>
    <w:p>
      <w:pPr>
        <w:spacing w:line="360" w:lineRule="auto"/>
        <w:ind w:firstLine="640" w:firstLineChars="200"/>
        <w:rPr>
          <w:rFonts w:hint="eastAsia" w:ascii="等线" w:hAnsi="等线" w:eastAsia="仿宋_GB2312" w:cs="Times New Roman"/>
          <w:sz w:val="32"/>
          <w:szCs w:val="22"/>
        </w:rPr>
      </w:pPr>
      <w:r>
        <w:rPr>
          <w:rFonts w:hint="eastAsia" w:ascii="仿宋_GB2312" w:hAnsi="仿宋_GB2312" w:eastAsia="仿宋_GB2312" w:cs="仿宋_GB2312"/>
          <w:sz w:val="32"/>
          <w:szCs w:val="22"/>
        </w:rPr>
        <w:t>正式考核期共5个自然日，申请人需通过5个自然日满负荷运行，验证药剂是否稳定、高产量地满足生产条件。由广州净水公司委托的检测单位负责检测考核工作，申请人达到考核期要求，考核通过。申请人在此期间被判断为不通过，需立即终止试验，试验周期提前结束，试验药剂厂商试验失败。</w:t>
      </w:r>
    </w:p>
    <w:p>
      <w:pPr>
        <w:keepNext/>
        <w:keepLines/>
        <w:spacing w:line="360" w:lineRule="auto"/>
        <w:outlineLvl w:val="1"/>
        <w:rPr>
          <w:rFonts w:ascii="Arial" w:hAnsi="Arial" w:eastAsia="楷体_GB2312" w:cs="Times New Roman"/>
          <w:b/>
          <w:sz w:val="32"/>
          <w:szCs w:val="22"/>
        </w:rPr>
      </w:pPr>
      <w:bookmarkStart w:id="25" w:name="_Toc12546"/>
      <w:bookmarkStart w:id="26" w:name="_Toc71483191"/>
      <w:r>
        <w:rPr>
          <w:rFonts w:hint="eastAsia" w:ascii="Arial" w:hAnsi="Arial" w:eastAsia="楷体_GB2312" w:cs="Times New Roman"/>
          <w:b/>
          <w:sz w:val="32"/>
          <w:szCs w:val="22"/>
        </w:rPr>
        <w:t>2.3设备恢复期</w:t>
      </w:r>
      <w:bookmarkEnd w:id="25"/>
      <w:bookmarkEnd w:id="26"/>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正式考核期后，广州净水公司对设备进行性能验证，经验证设备性能完好后，双方签署《</w:t>
      </w:r>
      <w:r>
        <w:rPr>
          <w:rFonts w:hint="eastAsia" w:ascii="仿宋_GB2312" w:hAnsi="仿宋_GB2312" w:eastAsia="仿宋_GB2312" w:cs="仿宋_GB2312"/>
          <w:sz w:val="32"/>
          <w:szCs w:val="32"/>
        </w:rPr>
        <w:t>设备性能完好确认书</w:t>
      </w:r>
      <w:r>
        <w:rPr>
          <w:rFonts w:hint="eastAsia" w:ascii="仿宋_GB2312" w:hAnsi="仿宋_GB2312" w:eastAsia="仿宋_GB2312" w:cs="仿宋_GB2312"/>
          <w:sz w:val="32"/>
          <w:szCs w:val="22"/>
        </w:rPr>
        <w:t>》，广州净水公司于30个自然日内无息返还履约保证金。</w:t>
      </w:r>
    </w:p>
    <w:p>
      <w:pPr>
        <w:spacing w:after="120" w:line="360" w:lineRule="auto"/>
        <w:ind w:firstLine="640" w:firstLineChars="200"/>
        <w:rPr>
          <w:rFonts w:hint="eastAsia" w:ascii="等线" w:hAnsi="等线" w:eastAsia="仿宋_GB2312" w:cs="Times New Roman"/>
          <w:sz w:val="32"/>
          <w:szCs w:val="22"/>
        </w:rPr>
      </w:pPr>
      <w:r>
        <w:rPr>
          <w:rFonts w:hint="eastAsia" w:ascii="等线" w:hAnsi="等线" w:eastAsia="仿宋_GB2312" w:cs="Times New Roman"/>
          <w:sz w:val="32"/>
          <w:szCs w:val="22"/>
        </w:rPr>
        <w:t>申请人应承担设备恢复及验证期内设备的维护维修及耗材更换费用，直至双方签署《设备性能完好确认书》。</w:t>
      </w:r>
    </w:p>
    <w:p>
      <w:pPr>
        <w:keepNext/>
        <w:keepLines/>
        <w:spacing w:line="360" w:lineRule="auto"/>
        <w:outlineLvl w:val="1"/>
        <w:rPr>
          <w:rFonts w:ascii="Arial" w:hAnsi="Arial" w:eastAsia="楷体_GB2312" w:cs="Times New Roman"/>
          <w:b/>
          <w:sz w:val="32"/>
          <w:szCs w:val="22"/>
        </w:rPr>
      </w:pPr>
      <w:bookmarkStart w:id="27" w:name="_Toc25751"/>
      <w:bookmarkStart w:id="28" w:name="_Toc71483192"/>
      <w:r>
        <w:rPr>
          <w:rFonts w:hint="eastAsia" w:ascii="Arial" w:hAnsi="Arial" w:eastAsia="楷体_GB2312" w:cs="Times New Roman"/>
          <w:b/>
          <w:sz w:val="32"/>
          <w:szCs w:val="22"/>
        </w:rPr>
        <w:t>2.4特别注意</w:t>
      </w:r>
      <w:bookmarkEnd w:id="27"/>
      <w:bookmarkEnd w:id="28"/>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两个阶段均由申请人进行药剂的投加与污泥深度浓缩系统的运行工作，广州净水公司负责污泥深度浓缩系统外的设备运行工作。未经广州净水公司同意，申请人不得进入广州净水公司的生产场所。</w:t>
      </w:r>
    </w:p>
    <w:p>
      <w:pPr>
        <w:spacing w:line="360" w:lineRule="auto"/>
        <w:ind w:firstLine="640" w:firstLineChars="200"/>
        <w:rPr>
          <w:rFonts w:hint="eastAsia" w:ascii="仿宋_GB2312" w:hAnsi="等线" w:eastAsia="仿宋_GB2312" w:cs="Times New Roman"/>
          <w:sz w:val="32"/>
          <w:szCs w:val="22"/>
        </w:rPr>
      </w:pPr>
      <w:r>
        <w:rPr>
          <w:rFonts w:hint="eastAsia" w:ascii="仿宋_GB2312" w:hAnsi="仿宋_GB2312" w:eastAsia="仿宋_GB2312" w:cs="仿宋_GB2312"/>
          <w:sz w:val="32"/>
          <w:szCs w:val="22"/>
        </w:rPr>
        <w:t>申请人需根据操作规程进行操作，由广州净水公司工作人员进行监督，书面记录各项设备调节参数并由双方签字确认（签名仅用于试验记录需要，代表广州净水公司确认申请人进行了该项操作，不对操作结果负责），广州净水公司根据运行惯例对负责范围内的设备进行操作并书面记录各项调节参数，试验期间设备维护维修及耗材更换费用由申请人承担，若发生安全生产事故的，由申请人承担相关损失及责任，同时应按法律法规及时向安监部门和广州净水公司报告。</w:t>
      </w:r>
    </w:p>
    <w:p>
      <w:pPr>
        <w:ind w:firstLine="420" w:firstLineChars="200"/>
        <w:rPr>
          <w:rFonts w:ascii="仿宋_GB2312"/>
        </w:rPr>
        <w:sectPr>
          <w:pgSz w:w="11906" w:h="16838"/>
          <w:pgMar w:top="1440" w:right="1800" w:bottom="1440" w:left="1800" w:header="851" w:footer="992" w:gutter="0"/>
          <w:cols w:space="425" w:num="1"/>
          <w:docGrid w:type="lines" w:linePitch="312" w:charSpace="0"/>
        </w:sectPr>
      </w:pPr>
    </w:p>
    <w:p>
      <w:pPr>
        <w:keepNext/>
        <w:keepLines/>
        <w:spacing w:line="360" w:lineRule="auto"/>
        <w:outlineLvl w:val="0"/>
        <w:rPr>
          <w:rFonts w:ascii="Times New Roman" w:hAnsi="Times New Roman" w:eastAsia="黑体" w:cs="Times New Roman"/>
          <w:b/>
          <w:kern w:val="44"/>
          <w:sz w:val="32"/>
          <w:szCs w:val="22"/>
        </w:rPr>
      </w:pPr>
      <w:bookmarkStart w:id="29" w:name="_Toc22597"/>
      <w:bookmarkStart w:id="30" w:name="_Toc71483193"/>
      <w:r>
        <w:rPr>
          <w:rFonts w:hint="eastAsia" w:ascii="Times New Roman" w:hAnsi="Times New Roman" w:eastAsia="黑体" w:cs="Times New Roman"/>
          <w:b/>
          <w:kern w:val="44"/>
          <w:sz w:val="32"/>
          <w:szCs w:val="22"/>
        </w:rPr>
        <w:t>三、出泥指标及检测方案</w:t>
      </w:r>
      <w:bookmarkEnd w:id="29"/>
      <w:bookmarkEnd w:id="30"/>
    </w:p>
    <w:p>
      <w:pPr>
        <w:keepNext/>
        <w:keepLines/>
        <w:spacing w:line="360" w:lineRule="auto"/>
        <w:outlineLvl w:val="1"/>
        <w:rPr>
          <w:rFonts w:ascii="Arial" w:hAnsi="Arial" w:eastAsia="楷体_GB2312" w:cs="Times New Roman"/>
          <w:b/>
          <w:sz w:val="32"/>
          <w:szCs w:val="22"/>
        </w:rPr>
      </w:pPr>
      <w:bookmarkStart w:id="31" w:name="_Toc1189"/>
      <w:bookmarkStart w:id="32" w:name="_Toc71483194"/>
      <w:r>
        <w:rPr>
          <w:rFonts w:hint="eastAsia" w:ascii="Arial" w:hAnsi="Arial" w:eastAsia="楷体_GB2312" w:cs="Times New Roman"/>
          <w:b/>
          <w:sz w:val="32"/>
          <w:szCs w:val="22"/>
        </w:rPr>
        <w:t>3.1污泥出泥指标</w:t>
      </w:r>
      <w:bookmarkEnd w:id="31"/>
      <w:bookmarkEnd w:id="32"/>
    </w:p>
    <w:p>
      <w:pPr>
        <w:keepNext/>
        <w:keepLines/>
        <w:spacing w:line="360" w:lineRule="auto"/>
        <w:outlineLvl w:val="2"/>
        <w:rPr>
          <w:rFonts w:hint="eastAsia" w:ascii="仿宋_GB2312" w:hAnsi="仿宋_GB2312" w:eastAsia="仿宋_GB2312" w:cs="仿宋_GB2312"/>
          <w:b/>
          <w:sz w:val="32"/>
          <w:szCs w:val="22"/>
        </w:rPr>
      </w:pPr>
      <w:bookmarkStart w:id="33" w:name="_Toc71483195"/>
      <w:bookmarkStart w:id="34" w:name="_Toc4411"/>
      <w:r>
        <w:rPr>
          <w:rFonts w:hint="eastAsia" w:ascii="仿宋_GB2312" w:hAnsi="仿宋_GB2312" w:eastAsia="仿宋_GB2312" w:cs="仿宋_GB2312"/>
          <w:b/>
          <w:sz w:val="32"/>
          <w:szCs w:val="22"/>
        </w:rPr>
        <w:t>3.1.1考核指标</w:t>
      </w:r>
      <w:bookmarkEnd w:id="33"/>
      <w:bookmarkEnd w:id="34"/>
    </w:p>
    <w:p>
      <w:pPr>
        <w:adjustRightInd w:val="0"/>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考核指标为涉及考核结果判定的指标，共7项，分别为：进泥及出泥含水率、进泥及出泥重金属（铬、汞、镍、铅、砷、铜、锌、镉）、出泥pH、出泥氯离子浓度、出泥颗粒度、污泥（重量）减量比、5天产量；</w:t>
      </w:r>
    </w:p>
    <w:p>
      <w:pPr>
        <w:adjustRightInd w:val="0"/>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上述指标委托第三方检测单位进场采样并进行检测，考核结果以委托检测单位出具的检测报告为准；由于委托检测单位的检测周期较长，现场采用快速测定仪测定出泥含水率、出泥pH、供现场参考。</w:t>
      </w:r>
    </w:p>
    <w:p>
      <w:pPr>
        <w:keepNext/>
        <w:keepLines/>
        <w:spacing w:line="360" w:lineRule="auto"/>
        <w:outlineLvl w:val="2"/>
        <w:rPr>
          <w:rFonts w:hint="eastAsia" w:ascii="仿宋_GB2312" w:hAnsi="仿宋_GB2312" w:eastAsia="仿宋_GB2312" w:cs="仿宋_GB2312"/>
          <w:b/>
          <w:sz w:val="32"/>
          <w:szCs w:val="22"/>
        </w:rPr>
      </w:pPr>
      <w:bookmarkStart w:id="35" w:name="_Toc32396"/>
      <w:bookmarkStart w:id="36" w:name="_Toc71483196"/>
      <w:r>
        <w:rPr>
          <w:rFonts w:hint="eastAsia" w:ascii="仿宋_GB2312" w:hAnsi="仿宋_GB2312" w:eastAsia="仿宋_GB2312" w:cs="仿宋_GB2312"/>
          <w:b/>
          <w:sz w:val="32"/>
          <w:szCs w:val="22"/>
        </w:rPr>
        <w:t>3.1.2污泥出泥指标要求</w:t>
      </w:r>
      <w:bookmarkEnd w:id="35"/>
      <w:bookmarkEnd w:id="36"/>
    </w:p>
    <w:p>
      <w:pPr>
        <w:snapToGrid w:val="0"/>
        <w:spacing w:line="360" w:lineRule="auto"/>
        <w:ind w:firstLine="640" w:firstLineChars="200"/>
        <w:rPr>
          <w:rFonts w:hint="eastAsia" w:ascii="仿宋_GB2312" w:hAnsi="仿宋_GB2312" w:eastAsia="仿宋_GB2312" w:cs="仿宋_GB2312"/>
          <w:strike/>
          <w:sz w:val="32"/>
          <w:szCs w:val="22"/>
        </w:rPr>
      </w:pPr>
      <w:r>
        <w:rPr>
          <w:rFonts w:hint="eastAsia" w:ascii="仿宋_GB2312" w:hAnsi="仿宋_GB2312" w:eastAsia="仿宋_GB2312" w:cs="仿宋_GB2312"/>
          <w:sz w:val="32"/>
          <w:szCs w:val="22"/>
        </w:rPr>
        <w:t>污泥的出泥指标必须完全满足下述要求：</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（1）处理后的污泥含水率标准为30%≤含水率≤40%；</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（2）处理后的污泥pH值标准为5-10</w:t>
      </w:r>
      <w:r>
        <w:rPr>
          <w:rFonts w:hint="eastAsia" w:ascii="仿宋_GB2312" w:hAnsi="仿宋_GB2312" w:eastAsia="仿宋_GB2312" w:cs="仿宋_GB2312"/>
          <w:sz w:val="32"/>
          <w:szCs w:val="32"/>
        </w:rPr>
        <w:t>（含5、10）</w:t>
      </w:r>
      <w:r>
        <w:rPr>
          <w:rFonts w:hint="eastAsia" w:ascii="仿宋_GB2312" w:hAnsi="仿宋_GB2312" w:eastAsia="仿宋_GB2312" w:cs="仿宋_GB2312"/>
          <w:sz w:val="32"/>
          <w:szCs w:val="22"/>
        </w:rPr>
        <w:t>；</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（3）处理后污泥的重金属(铬、汞、镍、铅、砷、铜、锌和镉)含量不能高于处理前污泥重金属含量；</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（4）污泥（重量）减量比≥60%（以进泥含水率80%计）；</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（5）处理后的污泥氯离子浓度标准为≤0.55╳10</w:t>
      </w:r>
      <w:r>
        <w:rPr>
          <w:rFonts w:hint="eastAsia" w:ascii="仿宋_GB2312" w:hAnsi="仿宋_GB2312" w:eastAsia="仿宋_GB2312" w:cs="仿宋_GB2312"/>
          <w:sz w:val="32"/>
          <w:szCs w:val="22"/>
          <w:vertAlign w:val="superscript"/>
        </w:rPr>
        <w:t>4</w:t>
      </w:r>
      <w:r>
        <w:rPr>
          <w:rFonts w:hint="eastAsia" w:ascii="仿宋_GB2312" w:hAnsi="仿宋_GB2312" w:eastAsia="仿宋_GB2312" w:cs="仿宋_GB2312"/>
          <w:sz w:val="32"/>
          <w:szCs w:val="22"/>
        </w:rPr>
        <w:t xml:space="preserve"> mg/kg（以干污泥质量计）；</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（6）处理后的污泥颗粒度标准为采用筛孔直径为30mm的圆孔试验筛，筛上物质量比例＜20%，采用筛孔直径为50mm的圆孔试验筛，不应存在筛上物。</w:t>
      </w:r>
    </w:p>
    <w:p>
      <w:pPr>
        <w:snapToGrid w:val="0"/>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（7）正式考核期120小时内污泥干基（含水率为0的污泥）产量不低于37.5吨，日均不低于7.5吨。</w:t>
      </w:r>
    </w:p>
    <w:p>
      <w:pPr>
        <w:snapToGrid w:val="0"/>
        <w:spacing w:line="360" w:lineRule="auto"/>
        <w:ind w:firstLine="640" w:firstLineChars="200"/>
        <w:rPr>
          <w:rFonts w:hint="eastAsia" w:ascii="仿宋_GB2312" w:hAnsi="等线" w:eastAsia="仿宋_GB2312" w:cs="Times New Roman"/>
          <w:sz w:val="32"/>
          <w:szCs w:val="22"/>
        </w:rPr>
      </w:pPr>
    </w:p>
    <w:p>
      <w:pPr>
        <w:snapToGrid w:val="0"/>
        <w:ind w:firstLine="420" w:firstLineChars="200"/>
        <w:rPr>
          <w:rFonts w:ascii="仿宋_GB2312"/>
        </w:rPr>
        <w:sectPr>
          <w:pgSz w:w="11906" w:h="16838"/>
          <w:pgMar w:top="1440" w:right="1800" w:bottom="1440" w:left="1800" w:header="851" w:footer="992" w:gutter="0"/>
          <w:cols w:space="425" w:num="1"/>
          <w:docGrid w:type="lines" w:linePitch="435" w:charSpace="0"/>
        </w:sectPr>
      </w:pPr>
    </w:p>
    <w:p>
      <w:pPr>
        <w:keepNext/>
        <w:keepLines/>
        <w:spacing w:line="360" w:lineRule="auto"/>
        <w:outlineLvl w:val="1"/>
        <w:rPr>
          <w:rFonts w:ascii="Arial" w:hAnsi="Arial" w:eastAsia="楷体_GB2312" w:cs="Times New Roman"/>
          <w:b/>
          <w:sz w:val="32"/>
          <w:szCs w:val="22"/>
        </w:rPr>
      </w:pPr>
      <w:bookmarkStart w:id="37" w:name="_Toc71483197"/>
      <w:bookmarkStart w:id="38" w:name="_Toc25808"/>
      <w:r>
        <w:rPr>
          <w:rFonts w:hint="eastAsia" w:ascii="Arial" w:hAnsi="Arial" w:eastAsia="楷体_GB2312" w:cs="Times New Roman"/>
          <w:b/>
          <w:sz w:val="32"/>
          <w:szCs w:val="22"/>
        </w:rPr>
        <w:t>3.2正式考核期试验取样位置及检测频率</w:t>
      </w:r>
      <w:bookmarkEnd w:id="37"/>
      <w:bookmarkEnd w:id="38"/>
    </w:p>
    <w:p>
      <w:pPr>
        <w:spacing w:line="360" w:lineRule="auto"/>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表3-1 </w:t>
      </w:r>
      <w:r>
        <w:rPr>
          <w:rFonts w:hint="eastAsia" w:ascii="仿宋_GB2312" w:hAnsi="仿宋_GB2312" w:eastAsia="仿宋_GB2312" w:cs="仿宋_GB2312"/>
          <w:bCs/>
          <w:sz w:val="32"/>
          <w:szCs w:val="32"/>
        </w:rPr>
        <w:t>正式考核期委托取样指标、取样位置及其检测频率</w:t>
      </w:r>
    </w:p>
    <w:tbl>
      <w:tblPr>
        <w:tblStyle w:val="14"/>
        <w:tblW w:w="13974" w:type="dxa"/>
        <w:jc w:val="center"/>
        <w:tblLayout w:type="fixed"/>
        <w:tblCellMar>
          <w:top w:w="0" w:type="dxa"/>
          <w:left w:w="108" w:type="dxa"/>
          <w:bottom w:w="0" w:type="dxa"/>
          <w:right w:w="108" w:type="dxa"/>
        </w:tblCellMar>
      </w:tblPr>
      <w:tblGrid>
        <w:gridCol w:w="934"/>
        <w:gridCol w:w="4306"/>
        <w:gridCol w:w="1704"/>
        <w:gridCol w:w="1701"/>
        <w:gridCol w:w="3511"/>
        <w:gridCol w:w="1818"/>
      </w:tblGrid>
      <w:tr>
        <w:tblPrEx>
          <w:tblCellMar>
            <w:top w:w="0" w:type="dxa"/>
            <w:left w:w="108" w:type="dxa"/>
            <w:bottom w:w="0" w:type="dxa"/>
            <w:right w:w="108" w:type="dxa"/>
          </w:tblCellMar>
        </w:tblPrEx>
        <w:trPr>
          <w:trHeight w:val="780" w:hRule="atLeast"/>
          <w:jc w:val="center"/>
        </w:trPr>
        <w:tc>
          <w:tcPr>
            <w:tcW w:w="9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　</w:t>
            </w:r>
          </w:p>
        </w:tc>
        <w:tc>
          <w:tcPr>
            <w:tcW w:w="43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检测项目</w:t>
            </w:r>
          </w:p>
        </w:tc>
        <w:tc>
          <w:tcPr>
            <w:tcW w:w="170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取样位置</w:t>
            </w:r>
          </w:p>
        </w:tc>
        <w:tc>
          <w:tcPr>
            <w:tcW w:w="170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检测周期内</w:t>
            </w:r>
          </w:p>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样品数量</w:t>
            </w:r>
          </w:p>
        </w:tc>
        <w:tc>
          <w:tcPr>
            <w:tcW w:w="351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检测频率</w:t>
            </w:r>
          </w:p>
        </w:tc>
        <w:tc>
          <w:tcPr>
            <w:tcW w:w="181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备注</w:t>
            </w:r>
          </w:p>
        </w:tc>
      </w:tr>
      <w:tr>
        <w:tblPrEx>
          <w:tblCellMar>
            <w:top w:w="0" w:type="dxa"/>
            <w:left w:w="108" w:type="dxa"/>
            <w:bottom w:w="0" w:type="dxa"/>
            <w:right w:w="108" w:type="dxa"/>
          </w:tblCellMar>
        </w:tblPrEx>
        <w:trPr>
          <w:trHeight w:val="231" w:hRule="atLeast"/>
          <w:jc w:val="center"/>
        </w:trPr>
        <w:tc>
          <w:tcPr>
            <w:tcW w:w="934"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进泥泥质</w:t>
            </w:r>
          </w:p>
        </w:tc>
        <w:tc>
          <w:tcPr>
            <w:tcW w:w="43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含水率（用于计算减量比）</w:t>
            </w:r>
          </w:p>
        </w:tc>
        <w:tc>
          <w:tcPr>
            <w:tcW w:w="1704"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进泥管取样口</w:t>
            </w:r>
          </w:p>
        </w:tc>
        <w:tc>
          <w:tcPr>
            <w:tcW w:w="1701"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取混合均匀后样品不少于1kg</w:t>
            </w:r>
          </w:p>
        </w:tc>
        <w:tc>
          <w:tcPr>
            <w:tcW w:w="3511" w:type="dxa"/>
            <w:tcBorders>
              <w:top w:val="single" w:color="auto" w:sz="4" w:space="0"/>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每调质批次送检一次</w:t>
            </w:r>
          </w:p>
        </w:tc>
        <w:tc>
          <w:tcPr>
            <w:tcW w:w="1818"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strike/>
                <w:kern w:val="0"/>
                <w:sz w:val="24"/>
                <w:szCs w:val="22"/>
                <w:highlight w:val="yellow"/>
              </w:rPr>
            </w:pPr>
          </w:p>
        </w:tc>
      </w:tr>
      <w:tr>
        <w:tblPrEx>
          <w:tblCellMar>
            <w:top w:w="0" w:type="dxa"/>
            <w:left w:w="108" w:type="dxa"/>
            <w:bottom w:w="0" w:type="dxa"/>
            <w:right w:w="108" w:type="dxa"/>
          </w:tblCellMar>
        </w:tblPrEx>
        <w:trPr>
          <w:trHeight w:val="654" w:hRule="atLeast"/>
          <w:jc w:val="center"/>
        </w:trPr>
        <w:tc>
          <w:tcPr>
            <w:tcW w:w="934"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重金属</w:t>
            </w:r>
          </w:p>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（铬、汞、镍、铅、砷、铜、锌、镉）</w:t>
            </w:r>
          </w:p>
        </w:tc>
        <w:tc>
          <w:tcPr>
            <w:tcW w:w="1704"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tcBorders>
              <w:top w:val="single" w:color="auto" w:sz="4" w:space="0"/>
              <w:left w:val="single" w:color="auto" w:sz="4" w:space="0"/>
              <w:bottom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取混合样每日送检一次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63" w:hRule="atLeast"/>
          <w:jc w:val="center"/>
        </w:trPr>
        <w:tc>
          <w:tcPr>
            <w:tcW w:w="934" w:type="dxa"/>
            <w:vMerge w:val="continue"/>
            <w:tcBorders>
              <w:left w:val="single" w:color="auto" w:sz="4" w:space="0"/>
              <w:bottom w:val="single" w:color="000000" w:sz="8" w:space="0"/>
              <w:right w:val="single" w:color="auto" w:sz="4"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single" w:color="auto" w:sz="4" w:space="0"/>
              <w:left w:val="single" w:color="auto" w:sz="4" w:space="0"/>
              <w:bottom w:val="single" w:color="auto"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密度（用于计算减量比）</w:t>
            </w:r>
          </w:p>
        </w:tc>
        <w:tc>
          <w:tcPr>
            <w:tcW w:w="1704" w:type="dxa"/>
            <w:vMerge w:val="continue"/>
            <w:tcBorders>
              <w:left w:val="single" w:color="auto" w:sz="4" w:space="0"/>
              <w:bottom w:val="single" w:color="000000" w:sz="8" w:space="0"/>
              <w:right w:val="single" w:color="auto" w:sz="4"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auto" w:sz="4" w:space="0"/>
              <w:bottom w:val="single" w:color="000000" w:sz="8" w:space="0"/>
              <w:right w:val="single" w:color="auto" w:sz="4"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tcBorders>
              <w:left w:val="single" w:color="auto" w:sz="4" w:space="0"/>
              <w:bottom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390" w:hRule="atLeast"/>
          <w:jc w:val="center"/>
        </w:trPr>
        <w:tc>
          <w:tcPr>
            <w:tcW w:w="934" w:type="dxa"/>
            <w:vMerge w:val="restart"/>
            <w:tcBorders>
              <w:top w:val="single" w:color="auto" w:sz="4" w:space="0"/>
              <w:left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最终出泥泥质</w:t>
            </w:r>
          </w:p>
        </w:tc>
        <w:tc>
          <w:tcPr>
            <w:tcW w:w="4306" w:type="dxa"/>
            <w:tcBorders>
              <w:top w:val="single" w:color="auto" w:sz="4" w:space="0"/>
              <w:left w:val="nil"/>
              <w:bottom w:val="single" w:color="auto" w:sz="8" w:space="0"/>
              <w:right w:val="single" w:color="auto"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含水率</w:t>
            </w:r>
          </w:p>
        </w:tc>
        <w:tc>
          <w:tcPr>
            <w:tcW w:w="1704" w:type="dxa"/>
            <w:vMerge w:val="restart"/>
            <w:tcBorders>
              <w:top w:val="single" w:color="auto" w:sz="4" w:space="0"/>
              <w:left w:val="nil"/>
              <w:bottom w:val="nil"/>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干料传输系统取样口</w:t>
            </w:r>
          </w:p>
        </w:tc>
        <w:tc>
          <w:tcPr>
            <w:tcW w:w="1701" w:type="dxa"/>
            <w:vMerge w:val="restart"/>
            <w:tcBorders>
              <w:top w:val="single" w:color="auto" w:sz="4" w:space="0"/>
              <w:left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取混合均匀后样品不少于1kg</w:t>
            </w:r>
          </w:p>
        </w:tc>
        <w:tc>
          <w:tcPr>
            <w:tcW w:w="351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每出泥批次送检一次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592"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重金属</w:t>
            </w:r>
          </w:p>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（铬、汞、镍、铅、砷、铜、锌、镉）</w:t>
            </w:r>
          </w:p>
        </w:tc>
        <w:tc>
          <w:tcPr>
            <w:tcW w:w="1704" w:type="dxa"/>
            <w:vMerge w:val="continue"/>
            <w:tcBorders>
              <w:top w:val="nil"/>
              <w:left w:val="nil"/>
              <w:bottom w:val="nil"/>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取混合样每日送检一次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300"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pH 值</w:t>
            </w:r>
          </w:p>
        </w:tc>
        <w:tc>
          <w:tcPr>
            <w:tcW w:w="1704" w:type="dxa"/>
            <w:vMerge w:val="continue"/>
            <w:tcBorders>
              <w:top w:val="nil"/>
              <w:left w:val="nil"/>
              <w:bottom w:val="nil"/>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每出泥批次送检一次</w:t>
            </w: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63"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000000" w:sz="8"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氯离子浓度</w:t>
            </w:r>
          </w:p>
        </w:tc>
        <w:tc>
          <w:tcPr>
            <w:tcW w:w="1704" w:type="dxa"/>
            <w:vMerge w:val="continue"/>
            <w:tcBorders>
              <w:top w:val="nil"/>
              <w:left w:val="nil"/>
              <w:bottom w:val="nil"/>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vMerge w:val="continue"/>
            <w:tcBorders>
              <w:left w:val="single" w:color="000000" w:sz="8" w:space="0"/>
              <w:bottom w:val="single" w:color="000000" w:sz="8"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351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c>
          <w:tcPr>
            <w:tcW w:w="1818" w:type="dxa"/>
            <w:vMerge w:val="continue"/>
            <w:tcBorders>
              <w:left w:val="single" w:color="auto" w:sz="4" w:space="0"/>
              <w:right w:val="single" w:color="auto" w:sz="4" w:space="0"/>
            </w:tcBorders>
            <w:shd w:val="clear" w:color="auto" w:fill="auto"/>
            <w:vAlign w:val="center"/>
          </w:tcPr>
          <w:p>
            <w:pPr>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1080" w:hRule="atLeast"/>
          <w:jc w:val="center"/>
        </w:trPr>
        <w:tc>
          <w:tcPr>
            <w:tcW w:w="934" w:type="dxa"/>
            <w:vMerge w:val="continue"/>
            <w:tcBorders>
              <w:left w:val="single" w:color="000000" w:sz="8"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nil"/>
              <w:left w:val="nil"/>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颗粒度</w:t>
            </w:r>
          </w:p>
        </w:tc>
        <w:tc>
          <w:tcPr>
            <w:tcW w:w="1704" w:type="dxa"/>
            <w:vMerge w:val="continue"/>
            <w:tcBorders>
              <w:top w:val="nil"/>
              <w:left w:val="nil"/>
              <w:bottom w:val="single" w:color="auto" w:sz="4"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1701" w:type="dxa"/>
            <w:tcBorders>
              <w:top w:val="nil"/>
              <w:left w:val="single" w:color="000000" w:sz="8" w:space="0"/>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取混合均匀后样品2~4kg</w:t>
            </w:r>
          </w:p>
        </w:tc>
        <w:tc>
          <w:tcPr>
            <w:tcW w:w="3511" w:type="dxa"/>
            <w:tcBorders>
              <w:top w:val="single" w:color="auto" w:sz="4" w:space="0"/>
              <w:left w:val="single" w:color="000000" w:sz="8"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每日送检一次</w:t>
            </w:r>
          </w:p>
        </w:tc>
        <w:tc>
          <w:tcPr>
            <w:tcW w:w="1818" w:type="dxa"/>
            <w:vMerge w:val="continue"/>
            <w:tcBorders>
              <w:left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r>
      <w:tr>
        <w:tblPrEx>
          <w:tblCellMar>
            <w:top w:w="0" w:type="dxa"/>
            <w:left w:w="108" w:type="dxa"/>
            <w:bottom w:w="0" w:type="dxa"/>
            <w:right w:w="108" w:type="dxa"/>
          </w:tblCellMar>
        </w:tblPrEx>
        <w:trPr>
          <w:trHeight w:val="1080" w:hRule="atLeast"/>
          <w:jc w:val="center"/>
        </w:trPr>
        <w:tc>
          <w:tcPr>
            <w:tcW w:w="934" w:type="dxa"/>
            <w:vMerge w:val="continue"/>
            <w:tcBorders>
              <w:left w:val="single" w:color="000000" w:sz="8" w:space="0"/>
              <w:bottom w:val="single" w:color="auto" w:sz="4"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p>
        </w:tc>
        <w:tc>
          <w:tcPr>
            <w:tcW w:w="4306" w:type="dxa"/>
            <w:tcBorders>
              <w:top w:val="single" w:color="auto" w:sz="4" w:space="0"/>
              <w:left w:val="nil"/>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污泥减量比</w:t>
            </w:r>
          </w:p>
        </w:tc>
        <w:tc>
          <w:tcPr>
            <w:tcW w:w="1704" w:type="dxa"/>
            <w:tcBorders>
              <w:top w:val="single" w:color="auto" w:sz="4" w:space="0"/>
              <w:left w:val="nil"/>
              <w:bottom w:val="single" w:color="auto" w:sz="4" w:space="0"/>
              <w:right w:val="single" w:color="000000" w:sz="8" w:space="0"/>
            </w:tcBorders>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进泥流量计、地磅、及上述检测数据</w:t>
            </w:r>
          </w:p>
        </w:tc>
        <w:tc>
          <w:tcPr>
            <w:tcW w:w="1701" w:type="dxa"/>
            <w:tcBorders>
              <w:top w:val="single" w:color="auto" w:sz="4" w:space="0"/>
              <w:left w:val="single" w:color="000000" w:sz="8" w:space="0"/>
              <w:bottom w:val="single" w:color="auto" w:sz="4" w:space="0"/>
              <w:right w:val="single" w:color="000000" w:sz="8"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w:t>
            </w:r>
          </w:p>
        </w:tc>
        <w:tc>
          <w:tcPr>
            <w:tcW w:w="3511" w:type="dxa"/>
            <w:tcBorders>
              <w:top w:val="single" w:color="auto" w:sz="4" w:space="0"/>
              <w:left w:val="single" w:color="000000" w:sz="8"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r>
              <w:rPr>
                <w:rFonts w:hint="eastAsia" w:ascii="仿宋_GB2312" w:hAnsi="仿宋_GB2312" w:eastAsia="仿宋_GB2312" w:cs="仿宋_GB2312"/>
                <w:kern w:val="0"/>
                <w:sz w:val="24"/>
                <w:szCs w:val="22"/>
              </w:rPr>
              <w:t>-</w:t>
            </w:r>
          </w:p>
        </w:tc>
        <w:tc>
          <w:tcPr>
            <w:tcW w:w="1818" w:type="dxa"/>
            <w:tcBorders>
              <w:left w:val="single" w:color="auto" w:sz="4" w:space="0"/>
              <w:bottom w:val="single" w:color="auto" w:sz="4" w:space="0"/>
              <w:right w:val="single" w:color="auto" w:sz="4" w:space="0"/>
            </w:tcBorders>
            <w:shd w:val="clear" w:color="auto" w:fill="auto"/>
            <w:vAlign w:val="center"/>
          </w:tcPr>
          <w:p>
            <w:pPr>
              <w:widowControl/>
              <w:adjustRightInd w:val="0"/>
              <w:snapToGrid w:val="0"/>
              <w:rPr>
                <w:rFonts w:hint="eastAsia" w:ascii="仿宋_GB2312" w:hAnsi="仿宋_GB2312" w:eastAsia="仿宋_GB2312" w:cs="仿宋_GB2312"/>
                <w:kern w:val="0"/>
                <w:sz w:val="24"/>
                <w:szCs w:val="22"/>
              </w:rPr>
            </w:pPr>
          </w:p>
        </w:tc>
      </w:tr>
    </w:tbl>
    <w:p>
      <w:pPr>
        <w:rPr>
          <w:rFonts w:hint="eastAsia" w:ascii="仿宋_GB2312" w:hAnsi="宋体" w:cs="宋体"/>
          <w:kern w:val="0"/>
          <w:sz w:val="24"/>
        </w:rPr>
        <w:sectPr>
          <w:pgSz w:w="16838" w:h="11906" w:orient="landscape"/>
          <w:pgMar w:top="1800" w:right="1440" w:bottom="1800" w:left="1440" w:header="851" w:footer="992" w:gutter="0"/>
          <w:cols w:space="425" w:num="1"/>
          <w:docGrid w:type="lines" w:linePitch="312" w:charSpace="0"/>
        </w:sectPr>
      </w:pPr>
    </w:p>
    <w:p>
      <w:pPr>
        <w:keepNext/>
        <w:keepLines/>
        <w:spacing w:line="360" w:lineRule="auto"/>
        <w:outlineLvl w:val="1"/>
        <w:rPr>
          <w:rFonts w:ascii="Arial" w:hAnsi="Arial" w:eastAsia="楷体_GB2312" w:cs="Times New Roman"/>
          <w:b/>
          <w:sz w:val="32"/>
          <w:szCs w:val="22"/>
        </w:rPr>
      </w:pPr>
      <w:bookmarkStart w:id="39" w:name="_Toc12560"/>
      <w:bookmarkStart w:id="40" w:name="_Toc71483198"/>
      <w:r>
        <w:rPr>
          <w:rFonts w:hint="eastAsia" w:ascii="Arial" w:hAnsi="Arial" w:eastAsia="楷体_GB2312" w:cs="Times New Roman"/>
          <w:b/>
          <w:sz w:val="32"/>
          <w:szCs w:val="22"/>
        </w:rPr>
        <w:t>3.3考核结果判定</w:t>
      </w:r>
      <w:bookmarkEnd w:id="39"/>
      <w:bookmarkEnd w:id="40"/>
    </w:p>
    <w:p>
      <w:pPr>
        <w:keepNext/>
        <w:keepLines/>
        <w:spacing w:line="360" w:lineRule="auto"/>
        <w:outlineLvl w:val="2"/>
        <w:rPr>
          <w:rFonts w:hint="eastAsia" w:ascii="仿宋_GB2312" w:hAnsi="仿宋_GB2312" w:eastAsia="仿宋_GB2312" w:cs="仿宋_GB2312"/>
          <w:b/>
          <w:sz w:val="32"/>
          <w:szCs w:val="22"/>
        </w:rPr>
      </w:pPr>
      <w:bookmarkStart w:id="41" w:name="_Toc71483199"/>
      <w:bookmarkStart w:id="42" w:name="_Toc29212"/>
      <w:r>
        <w:rPr>
          <w:rFonts w:hint="eastAsia" w:ascii="仿宋_GB2312" w:hAnsi="仿宋_GB2312" w:eastAsia="仿宋_GB2312" w:cs="仿宋_GB2312"/>
          <w:b/>
          <w:sz w:val="32"/>
          <w:szCs w:val="22"/>
        </w:rPr>
        <w:t>3.3.1考核要求介绍</w:t>
      </w:r>
      <w:bookmarkEnd w:id="41"/>
      <w:bookmarkEnd w:id="42"/>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（1）正式考核期产量要求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委托检测单位工作人员根据出泥地磅重量、出泥含水率，折算成正式考核期绝干基污泥量，共5天，要求5天内平均每日处理干基量≥设计干基量（7.5吨/天）</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于试验区域满负荷连续稳定运行5天，且日均产量不低于7.5吨绝干基（折合含水率为30%的污泥10.71吨，含水率为40%的污泥12.5吨），即5日总产量不低于37.5吨绝干基（折合含水率为30%的污泥53.55吨，含水率为40%的污泥62.55吨），该项目考核结果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（2）污泥含水率要求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批次的进泥及干化出泥，委托检测单位取样人员在取样点采集一份样品（三个平行样，各约1kg），送检委托检测单位，（现场同步使用快速测定仪测定其含水率，供现场辅助参考。最终考核依据以委托检测单位检测报告为准）。检测及取样方法按照</w:t>
      </w:r>
      <w:r>
        <w:rPr>
          <w:rFonts w:hint="eastAsia" w:ascii="仿宋_GB2312" w:hAnsi="仿宋_GB2312" w:eastAsia="仿宋_GB2312" w:cs="仿宋_GB2312"/>
          <w:sz w:val="32"/>
          <w:szCs w:val="28"/>
        </w:rPr>
        <w:t>GB 24188、CJ/T 221-2005</w:t>
      </w:r>
      <w:r>
        <w:rPr>
          <w:rFonts w:hint="eastAsia" w:ascii="仿宋_GB2312" w:hAnsi="仿宋_GB2312" w:eastAsia="仿宋_GB2312" w:cs="仿宋_GB2312"/>
          <w:kern w:val="0"/>
          <w:sz w:val="32"/>
          <w:szCs w:val="28"/>
        </w:rPr>
        <w:t>规定之城市污泥 含水率的测定 重量法 进行检测。</w:t>
      </w:r>
    </w:p>
    <w:p>
      <w:pPr>
        <w:spacing w:line="360" w:lineRule="auto"/>
        <w:ind w:left="210" w:leftChars="100" w:firstLine="320" w:firstLineChars="1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考核要求：所有批次的干化处理后污泥含水率在 30%～40%之间(含30%、40%)，</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（3）污泥重金属要求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日，委托检测单位取样人员在取样点采集混合进泥样品一份（三个平行样，各不小于1kg）、混合出泥样品一份（三个平行样，各不小于1kg），送检委托检测单位。检测铬、汞、镍、铅、砷、铜、锌、镉8项指标，计算平均值，共5日。取样及检测方法按照</w:t>
      </w:r>
      <w:r>
        <w:rPr>
          <w:rFonts w:hint="eastAsia" w:ascii="仿宋_GB2312" w:hAnsi="仿宋_GB2312" w:eastAsia="仿宋_GB2312" w:cs="仿宋_GB2312"/>
          <w:sz w:val="32"/>
          <w:szCs w:val="28"/>
        </w:rPr>
        <w:t xml:space="preserve">GB 24188、CJ/T 221-2005规定之城市污泥 </w:t>
      </w:r>
      <w:r>
        <w:rPr>
          <w:rFonts w:hint="eastAsia" w:ascii="仿宋_GB2312" w:hAnsi="仿宋_GB2312" w:eastAsia="仿宋_GB2312" w:cs="仿宋_GB2312"/>
          <w:kern w:val="0"/>
          <w:sz w:val="32"/>
          <w:szCs w:val="28"/>
        </w:rPr>
        <w:t>铬及其化合物的测定、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总汞的测定、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镍及其化合物的测定、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铅及其化合物的测定、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砷及其化合物的测定、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铜及其化合物的测定、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锌及其化合物的测定、</w:t>
      </w:r>
      <w:r>
        <w:rPr>
          <w:rFonts w:hint="eastAsia" w:ascii="仿宋_GB2312" w:hAnsi="仿宋_GB2312" w:eastAsia="仿宋_GB2312" w:cs="仿宋_GB2312"/>
          <w:sz w:val="32"/>
          <w:szCs w:val="28"/>
        </w:rPr>
        <w:t xml:space="preserve">城市污泥 </w:t>
      </w:r>
      <w:r>
        <w:rPr>
          <w:rFonts w:hint="eastAsia" w:ascii="仿宋_GB2312" w:hAnsi="仿宋_GB2312" w:eastAsia="仿宋_GB2312" w:cs="仿宋_GB2312"/>
          <w:kern w:val="0"/>
          <w:sz w:val="32"/>
          <w:szCs w:val="28"/>
        </w:rPr>
        <w:t>镉及其化合物的测定方法进行检测。</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考核要求：所有批次的干化污泥重金属检测值均不高于进泥重金属，</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（4）污泥pH值要求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出泥批次，委托检测单位取样人员在取样点采集处理后的出泥样品一份（三个平行样，各不小于1kg），送检委托检测单位（现场同步使用pH试纸或pH计测定，供评估参考），考核依据以委托检测单位检测报告为准。取样及检测方法按照</w:t>
      </w:r>
      <w:r>
        <w:rPr>
          <w:rFonts w:hint="eastAsia" w:ascii="仿宋_GB2312" w:hAnsi="仿宋_GB2312" w:eastAsia="仿宋_GB2312" w:cs="仿宋_GB2312"/>
          <w:sz w:val="32"/>
          <w:szCs w:val="28"/>
        </w:rPr>
        <w:t>GB 24188、CJ/T 221-2005</w:t>
      </w:r>
      <w:r>
        <w:rPr>
          <w:rFonts w:hint="eastAsia" w:ascii="仿宋_GB2312" w:hAnsi="仿宋_GB2312" w:eastAsia="仿宋_GB2312" w:cs="仿宋_GB2312"/>
          <w:kern w:val="0"/>
          <w:sz w:val="32"/>
          <w:szCs w:val="28"/>
        </w:rPr>
        <w:t>规定之玻璃电极法进行检测。</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考核要求：所有批次的干化处理后污泥的 pH 值在5-10</w:t>
      </w:r>
      <w:r>
        <w:rPr>
          <w:rFonts w:hint="eastAsia" w:ascii="仿宋_GB2312" w:hAnsi="仿宋_GB2312" w:eastAsia="仿宋_GB2312" w:cs="仿宋_GB2312"/>
          <w:sz w:val="32"/>
          <w:szCs w:val="32"/>
        </w:rPr>
        <w:t>（含5、10）</w:t>
      </w:r>
      <w:r>
        <w:rPr>
          <w:rFonts w:hint="eastAsia" w:ascii="仿宋_GB2312" w:hAnsi="仿宋_GB2312" w:eastAsia="仿宋_GB2312" w:cs="仿宋_GB2312"/>
          <w:kern w:val="0"/>
          <w:sz w:val="32"/>
          <w:szCs w:val="28"/>
        </w:rPr>
        <w:t xml:space="preserve"> 之间，</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 xml:space="preserve">判定为“合格”。 </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（5）污泥氯离子浓度要求</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每出泥批次，取样人员在取样点采集干化出样品一份（三个平行样，各不小于1kg），送检委托检测单位。检测方法取样及检测方法按照《土壤氯离子含量的测定》</w:t>
      </w:r>
      <w:bookmarkStart w:id="43" w:name="1"/>
      <w:bookmarkEnd w:id="43"/>
      <w:r>
        <w:rPr>
          <w:rFonts w:hint="eastAsia" w:ascii="仿宋_GB2312" w:hAnsi="仿宋_GB2312" w:eastAsia="仿宋_GB2312" w:cs="仿宋_GB2312"/>
          <w:kern w:val="0"/>
          <w:sz w:val="32"/>
          <w:szCs w:val="28"/>
        </w:rPr>
        <w:t>电位滴定法NY/T 1378-2007。</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考核要求：所有批次的出泥的氯离子浓度≤0.55×10</w:t>
      </w:r>
      <w:r>
        <w:rPr>
          <w:rFonts w:hint="eastAsia" w:ascii="仿宋_GB2312" w:hAnsi="仿宋_GB2312" w:eastAsia="仿宋_GB2312" w:cs="仿宋_GB2312"/>
          <w:kern w:val="0"/>
          <w:sz w:val="32"/>
          <w:szCs w:val="28"/>
          <w:vertAlign w:val="superscript"/>
        </w:rPr>
        <w:t>4</w:t>
      </w:r>
      <w:r>
        <w:rPr>
          <w:rFonts w:hint="eastAsia" w:ascii="仿宋_GB2312" w:hAnsi="仿宋_GB2312" w:eastAsia="仿宋_GB2312" w:cs="仿宋_GB2312"/>
          <w:kern w:val="0"/>
          <w:sz w:val="32"/>
          <w:szCs w:val="28"/>
        </w:rPr>
        <w:t>mg/kg，</w:t>
      </w:r>
      <w:r>
        <w:rPr>
          <w:rFonts w:hint="eastAsia" w:ascii="仿宋_GB2312" w:hAnsi="仿宋_GB2312" w:eastAsia="仿宋_GB2312" w:cs="仿宋_GB2312"/>
          <w:sz w:val="32"/>
          <w:szCs w:val="28"/>
        </w:rPr>
        <w:t>该项目考核结果</w:t>
      </w:r>
      <w:r>
        <w:rPr>
          <w:rFonts w:hint="eastAsia" w:ascii="仿宋_GB2312" w:hAnsi="仿宋_GB2312" w:eastAsia="仿宋_GB2312" w:cs="仿宋_GB2312"/>
          <w:kern w:val="0"/>
          <w:sz w:val="32"/>
          <w:szCs w:val="28"/>
        </w:rPr>
        <w:t>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（6）污泥颗粒度要求</w:t>
      </w:r>
    </w:p>
    <w:p>
      <w:pPr>
        <w:spacing w:line="360" w:lineRule="auto"/>
        <w:ind w:firstLine="640" w:firstLineChars="200"/>
        <w:rPr>
          <w:rFonts w:hint="eastAsia" w:ascii="仿宋_GB2312" w:hAnsi="仿宋_GB2312" w:eastAsia="仿宋_GB2312" w:cs="仿宋_GB2312"/>
          <w:strike/>
          <w:kern w:val="0"/>
          <w:sz w:val="32"/>
          <w:szCs w:val="28"/>
        </w:rPr>
      </w:pPr>
      <w:r>
        <w:rPr>
          <w:rFonts w:hint="eastAsia" w:ascii="仿宋_GB2312" w:hAnsi="仿宋_GB2312" w:eastAsia="仿宋_GB2312" w:cs="仿宋_GB2312"/>
          <w:kern w:val="0"/>
          <w:sz w:val="32"/>
          <w:szCs w:val="28"/>
        </w:rPr>
        <w:t>委托检测单位取样人员在取样点采集处理后的出泥样品一份（三个平行样，各约2~4kg）送检委托检测单位，采用筛孔直径为30 mm的圆孔试验筛，筛上物质量比例＜20%；采用筛孔直径为50 mm的圆孔试验筛，不应存在筛上物。</w:t>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考核要求：所有批次的出泥颗粒度标准为采用筛孔直径为 30mm 的圆孔试验筛，筛上物质量比例＜20%， 采用筛孔直径为 50mm 的圆孔试验筛，不应存在筛上物，</w:t>
      </w:r>
      <w:r>
        <w:rPr>
          <w:rFonts w:hint="eastAsia" w:ascii="仿宋_GB2312" w:hAnsi="仿宋_GB2312" w:eastAsia="仿宋_GB2312" w:cs="仿宋_GB2312"/>
          <w:sz w:val="32"/>
          <w:szCs w:val="28"/>
        </w:rPr>
        <w:t>该项目考核</w:t>
      </w:r>
      <w:r>
        <w:rPr>
          <w:rFonts w:hint="eastAsia" w:ascii="仿宋_GB2312" w:hAnsi="仿宋_GB2312" w:eastAsia="仿宋_GB2312" w:cs="仿宋_GB2312"/>
          <w:kern w:val="0"/>
          <w:sz w:val="32"/>
          <w:szCs w:val="28"/>
        </w:rPr>
        <w:t>结果判定为“合格”</w:t>
      </w:r>
    </w:p>
    <w:p>
      <w:pPr>
        <w:spacing w:line="360" w:lineRule="auto"/>
        <w:ind w:firstLine="643" w:firstLineChars="200"/>
        <w:rPr>
          <w:rFonts w:hint="eastAsia" w:ascii="仿宋_GB2312" w:hAnsi="仿宋_GB2312" w:eastAsia="仿宋_GB2312" w:cs="仿宋_GB2312"/>
          <w:b/>
          <w:bCs/>
          <w:kern w:val="0"/>
          <w:sz w:val="32"/>
          <w:szCs w:val="28"/>
        </w:rPr>
      </w:pPr>
      <w:r>
        <w:rPr>
          <w:rFonts w:hint="eastAsia" w:ascii="仿宋_GB2312" w:hAnsi="仿宋_GB2312" w:eastAsia="仿宋_GB2312" w:cs="仿宋_GB2312"/>
          <w:b/>
          <w:bCs/>
          <w:kern w:val="0"/>
          <w:sz w:val="32"/>
          <w:szCs w:val="28"/>
        </w:rPr>
        <w:t>（7）污泥（重量）减量比核算要求</w:t>
      </w:r>
    </w:p>
    <w:p>
      <w:pPr>
        <w:spacing w:line="360" w:lineRule="auto"/>
        <w:ind w:left="2" w:leftChars="1" w:firstLine="640" w:firstLineChars="200"/>
        <w:rPr>
          <w:rFonts w:hint="eastAsia" w:ascii="仿宋_GB2312" w:hAnsi="仿宋_GB2312" w:eastAsia="仿宋_GB2312" w:cs="仿宋_GB2312"/>
          <w:b/>
          <w:kern w:val="0"/>
          <w:sz w:val="32"/>
          <w:szCs w:val="32"/>
        </w:rPr>
      </w:pPr>
      <w:r>
        <w:rPr>
          <w:rFonts w:hint="eastAsia" w:ascii="仿宋_GB2312" w:hAnsi="仿宋_GB2312" w:eastAsia="仿宋_GB2312" w:cs="仿宋_GB2312"/>
          <w:kern w:val="0"/>
          <w:sz w:val="32"/>
          <w:szCs w:val="28"/>
        </w:rPr>
        <w:t>从正式考核期开始之日期，委托检测单位工作人员于现场记录</w:t>
      </w:r>
      <w:r>
        <w:rPr>
          <w:rFonts w:hint="eastAsia" w:ascii="仿宋_GB2312" w:hAnsi="仿宋_GB2312" w:eastAsia="仿宋_GB2312" w:cs="仿宋_GB2312"/>
          <w:b/>
          <w:bCs/>
          <w:kern w:val="0"/>
          <w:sz w:val="32"/>
          <w:szCs w:val="28"/>
        </w:rPr>
        <w:t>污泥的进泥泥量数值、密度</w:t>
      </w:r>
      <w:r>
        <w:rPr>
          <w:rFonts w:hint="eastAsia" w:ascii="仿宋_GB2312" w:hAnsi="仿宋_GB2312" w:eastAsia="仿宋_GB2312" w:cs="仿宋_GB2312"/>
          <w:kern w:val="0"/>
          <w:sz w:val="32"/>
          <w:szCs w:val="28"/>
        </w:rPr>
        <w:t>和</w:t>
      </w:r>
      <w:r>
        <w:rPr>
          <w:rFonts w:hint="eastAsia" w:ascii="仿宋_GB2312" w:hAnsi="仿宋_GB2312" w:eastAsia="仿宋_GB2312" w:cs="仿宋_GB2312"/>
          <w:b/>
          <w:bCs/>
          <w:kern w:val="0"/>
          <w:sz w:val="32"/>
          <w:szCs w:val="28"/>
        </w:rPr>
        <w:t>出泥地磅读数</w:t>
      </w:r>
      <w:r>
        <w:rPr>
          <w:rFonts w:hint="eastAsia" w:ascii="仿宋_GB2312" w:hAnsi="仿宋_GB2312" w:eastAsia="仿宋_GB2312" w:cs="仿宋_GB2312"/>
          <w:kern w:val="0"/>
          <w:sz w:val="32"/>
          <w:szCs w:val="28"/>
        </w:rPr>
        <w:t>，按下列公式计算污泥（重量）减量比：</w:t>
      </w:r>
      <w:r>
        <w:rPr>
          <w:rFonts w:hint="eastAsia" w:ascii="仿宋_GB2312" w:hAnsi="仿宋_GB2312" w:eastAsia="仿宋_GB2312" w:cs="仿宋_GB2312"/>
          <w:b/>
          <w:kern w:val="0"/>
          <w:sz w:val="28"/>
          <w:szCs w:val="28"/>
        </w:rPr>
        <w:t>)</w:t>
      </w:r>
    </w:p>
    <w:p>
      <w:pPr>
        <w:widowControl/>
        <w:spacing w:line="360" w:lineRule="auto"/>
        <w:ind w:left="160" w:leftChars="76"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32"/>
        </w:rPr>
        <w:t>=</w:t>
      </w:r>
      <w:r>
        <w:rPr>
          <w:rFonts w:hint="eastAsia" w:ascii="仿宋_GB2312" w:hAnsi="仿宋_GB2312" w:eastAsia="仿宋_GB2312" w:cs="仿宋_GB2312"/>
          <w:sz w:val="32"/>
          <w:szCs w:val="32"/>
        </w:rPr>
        <w:t xml:space="preserve"> </w:t>
      </w:r>
      <w:r>
        <w:rPr>
          <w:rFonts w:hint="eastAsia" w:ascii="仿宋_GB2312" w:hAnsi="仿宋_GB2312" w:eastAsia="仿宋_GB2312" w:cs="仿宋_GB2312"/>
          <w:kern w:val="0"/>
          <w:sz w:val="32"/>
          <w:szCs w:val="32"/>
        </w:rPr>
        <w:t>干化出泥地磅读数均值</w:t>
      </w:r>
      <w:r>
        <w:rPr>
          <w:rFonts w:hint="eastAsia" w:ascii="仿宋_GB2312" w:hAnsi="仿宋_GB2312" w:eastAsia="仿宋_GB2312" w:cs="仿宋_GB2312"/>
          <w:sz w:val="40"/>
          <w:szCs w:val="28"/>
        </w:rPr>
        <w:drawing>
          <wp:inline distT="0" distB="0" distL="0" distR="0">
            <wp:extent cx="2723515" cy="53721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a:xfrm>
                      <a:off x="0" y="0"/>
                      <a:ext cx="2746774" cy="542357"/>
                    </a:xfrm>
                    <a:prstGeom prst="rect">
                      <a:avLst/>
                    </a:prstGeom>
                    <a:noFill/>
                    <a:ln w="9525">
                      <a:noFill/>
                      <a:miter lim="800000"/>
                      <a:headEnd/>
                      <a:tailEnd/>
                    </a:ln>
                  </pic:spPr>
                </pic:pic>
              </a:graphicData>
            </a:graphic>
          </wp:inline>
        </w:drawing>
      </w:r>
    </w:p>
    <w:p>
      <w:pPr>
        <w:spacing w:line="360" w:lineRule="auto"/>
        <w:ind w:firstLine="640" w:firstLineChars="200"/>
        <w:rPr>
          <w:rFonts w:hint="eastAsia" w:ascii="仿宋_GB2312" w:hAnsi="仿宋_GB2312" w:eastAsia="仿宋_GB2312" w:cs="仿宋_GB2312"/>
          <w:kern w:val="0"/>
          <w:sz w:val="32"/>
          <w:szCs w:val="28"/>
        </w:rPr>
      </w:pPr>
      <w:r>
        <w:rPr>
          <w:rFonts w:hint="eastAsia" w:ascii="仿宋_GB2312" w:hAnsi="仿宋_GB2312" w:eastAsia="仿宋_GB2312" w:cs="仿宋_GB2312"/>
          <w:kern w:val="0"/>
          <w:sz w:val="32"/>
          <w:szCs w:val="28"/>
        </w:rPr>
        <w:t>考核要求：考核期间，所有批次的处理后污泥（重量）减量比≥60%。</w:t>
      </w:r>
      <w:r>
        <w:rPr>
          <w:rFonts w:hint="eastAsia" w:ascii="仿宋_GB2312" w:hAnsi="仿宋_GB2312" w:eastAsia="仿宋_GB2312" w:cs="仿宋_GB2312"/>
          <w:sz w:val="32"/>
          <w:szCs w:val="28"/>
        </w:rPr>
        <w:t>该项目考核</w:t>
      </w:r>
      <w:r>
        <w:rPr>
          <w:rFonts w:hint="eastAsia" w:ascii="仿宋_GB2312" w:hAnsi="仿宋_GB2312" w:eastAsia="仿宋_GB2312" w:cs="仿宋_GB2312"/>
          <w:kern w:val="0"/>
          <w:sz w:val="32"/>
          <w:szCs w:val="28"/>
        </w:rPr>
        <w:t>结果判定为“合格”。</w:t>
      </w:r>
    </w:p>
    <w:p>
      <w:pPr>
        <w:keepNext/>
        <w:keepLines/>
        <w:spacing w:line="360" w:lineRule="auto"/>
        <w:outlineLvl w:val="2"/>
        <w:rPr>
          <w:rFonts w:hint="eastAsia" w:ascii="仿宋_GB2312" w:hAnsi="仿宋_GB2312" w:eastAsia="仿宋_GB2312" w:cs="仿宋_GB2312"/>
          <w:b/>
          <w:sz w:val="32"/>
          <w:szCs w:val="22"/>
        </w:rPr>
      </w:pPr>
      <w:bookmarkStart w:id="44" w:name="_Toc5316"/>
      <w:bookmarkStart w:id="45" w:name="_Toc71483200"/>
      <w:r>
        <w:rPr>
          <w:rFonts w:hint="eastAsia" w:ascii="仿宋_GB2312" w:hAnsi="仿宋_GB2312" w:eastAsia="仿宋_GB2312" w:cs="仿宋_GB2312"/>
          <w:b/>
          <w:sz w:val="32"/>
          <w:szCs w:val="22"/>
        </w:rPr>
        <w:t>3.3.2记录表格</w:t>
      </w:r>
      <w:bookmarkEnd w:id="44"/>
      <w:bookmarkEnd w:id="45"/>
    </w:p>
    <w:p>
      <w:pPr>
        <w:spacing w:line="360" w:lineRule="auto"/>
        <w:ind w:firstLine="640" w:firstLineChars="200"/>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记录表格分别为：现场记录指标记录表、减量比核算表格、药剂投加量、药剂含固记录表格、生产性试验正式考核期考核评估表，详见附件。</w:t>
      </w:r>
    </w:p>
    <w:p>
      <w:pPr>
        <w:keepNext/>
        <w:keepLines/>
        <w:spacing w:line="360" w:lineRule="auto"/>
        <w:outlineLvl w:val="2"/>
        <w:rPr>
          <w:rFonts w:hint="eastAsia" w:ascii="仿宋_GB2312" w:hAnsi="仿宋_GB2312" w:eastAsia="仿宋_GB2312" w:cs="仿宋_GB2312"/>
          <w:b/>
          <w:sz w:val="32"/>
          <w:szCs w:val="22"/>
        </w:rPr>
      </w:pPr>
      <w:bookmarkStart w:id="46" w:name="_Toc71483201"/>
      <w:bookmarkStart w:id="47" w:name="_Toc13784"/>
      <w:r>
        <w:rPr>
          <w:rFonts w:hint="eastAsia" w:ascii="仿宋_GB2312" w:hAnsi="仿宋_GB2312" w:eastAsia="仿宋_GB2312" w:cs="仿宋_GB2312"/>
          <w:b/>
          <w:sz w:val="32"/>
          <w:szCs w:val="22"/>
        </w:rPr>
        <w:t>3.3.3结果判定</w:t>
      </w:r>
      <w:bookmarkEnd w:id="46"/>
      <w:bookmarkEnd w:id="47"/>
    </w:p>
    <w:p>
      <w:pPr>
        <w:spacing w:line="360" w:lineRule="auto"/>
        <w:ind w:firstLine="560" w:firstLineChars="175"/>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根据委托检测单位的检测结果及考核小组记录结果，正式考核期产量、出泥含水率、污泥重金属、污泥pH、污泥氯离子浓度、干化污泥颗粒度、污泥（重量）减量比核算7项指标均通过考核，该试验药剂厂商本次达到生产性试验的考核要求。</w:t>
      </w:r>
    </w:p>
    <w:p>
      <w:pPr>
        <w:spacing w:line="360" w:lineRule="auto"/>
        <w:jc w:val="center"/>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表3-2 生产性试验正式考核期考核评估表</w:t>
      </w:r>
    </w:p>
    <w:tbl>
      <w:tblPr>
        <w:tblStyle w:val="14"/>
        <w:tblW w:w="8640" w:type="dxa"/>
        <w:tblInd w:w="-10" w:type="dxa"/>
        <w:tblLayout w:type="fixed"/>
        <w:tblCellMar>
          <w:top w:w="0" w:type="dxa"/>
          <w:left w:w="108" w:type="dxa"/>
          <w:bottom w:w="0" w:type="dxa"/>
          <w:right w:w="108" w:type="dxa"/>
        </w:tblCellMar>
      </w:tblPr>
      <w:tblGrid>
        <w:gridCol w:w="709"/>
        <w:gridCol w:w="1276"/>
        <w:gridCol w:w="992"/>
        <w:gridCol w:w="1417"/>
        <w:gridCol w:w="4246"/>
      </w:tblGrid>
      <w:tr>
        <w:tblPrEx>
          <w:tblCellMar>
            <w:top w:w="0" w:type="dxa"/>
            <w:left w:w="108" w:type="dxa"/>
            <w:bottom w:w="0" w:type="dxa"/>
            <w:right w:w="108" w:type="dxa"/>
          </w:tblCellMar>
        </w:tblPrEx>
        <w:trPr>
          <w:trHeight w:val="615" w:hRule="atLeast"/>
        </w:trPr>
        <w:tc>
          <w:tcPr>
            <w:tcW w:w="709"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序号</w:t>
            </w:r>
          </w:p>
        </w:tc>
        <w:tc>
          <w:tcPr>
            <w:tcW w:w="1276"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项目</w:t>
            </w:r>
          </w:p>
        </w:tc>
        <w:tc>
          <w:tcPr>
            <w:tcW w:w="992"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单位</w:t>
            </w:r>
          </w:p>
        </w:tc>
        <w:tc>
          <w:tcPr>
            <w:tcW w:w="1417"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考核结果</w:t>
            </w:r>
          </w:p>
        </w:tc>
        <w:tc>
          <w:tcPr>
            <w:tcW w:w="4246" w:type="dxa"/>
            <w:tcBorders>
              <w:top w:val="single" w:color="000000" w:sz="8" w:space="0"/>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b/>
                <w:bCs/>
                <w:kern w:val="0"/>
                <w:sz w:val="24"/>
              </w:rPr>
            </w:pPr>
            <w:r>
              <w:rPr>
                <w:rFonts w:hint="eastAsia" w:ascii="仿宋_GB2312" w:hAnsi="仿宋_GB2312" w:eastAsia="仿宋_GB2312" w:cs="仿宋_GB2312"/>
                <w:b/>
                <w:bCs/>
                <w:kern w:val="0"/>
                <w:sz w:val="24"/>
              </w:rPr>
              <w:t>备注</w:t>
            </w:r>
          </w:p>
        </w:tc>
      </w:tr>
      <w:tr>
        <w:tblPrEx>
          <w:tblCellMar>
            <w:top w:w="0" w:type="dxa"/>
            <w:left w:w="108" w:type="dxa"/>
            <w:bottom w:w="0" w:type="dxa"/>
            <w:right w:w="108" w:type="dxa"/>
          </w:tblCellMar>
        </w:tblPrEx>
        <w:trPr>
          <w:trHeight w:val="680"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1.1</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正式考核期产量</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绝干基日均产量不少于7.5吨/天，评定为“合格”。</w:t>
            </w:r>
          </w:p>
        </w:tc>
      </w:tr>
      <w:tr>
        <w:tblPrEx>
          <w:tblCellMar>
            <w:top w:w="0" w:type="dxa"/>
            <w:left w:w="108" w:type="dxa"/>
            <w:bottom w:w="0" w:type="dxa"/>
            <w:right w:w="108" w:type="dxa"/>
          </w:tblCellMar>
        </w:tblPrEx>
        <w:trPr>
          <w:trHeight w:val="1191"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1.2</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含水率</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每批次进、出泥一测。检测方法按照CJ/T 221-2005含水率分析方法。所有批次的干化出泥含水率在30%～40%之间。</w:t>
            </w:r>
          </w:p>
        </w:tc>
      </w:tr>
      <w:tr>
        <w:tblPrEx>
          <w:tblCellMar>
            <w:top w:w="0" w:type="dxa"/>
            <w:left w:w="108" w:type="dxa"/>
            <w:bottom w:w="0" w:type="dxa"/>
            <w:right w:w="108" w:type="dxa"/>
          </w:tblCellMar>
        </w:tblPrEx>
        <w:trPr>
          <w:trHeight w:val="964"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1.3</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pH</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每批次进、出泥一测。检测方法按照CJ/T 221-2005 pH值分析方法。所有批次的干化污泥pH值在5-10（含5、10）之间。</w:t>
            </w:r>
          </w:p>
        </w:tc>
      </w:tr>
      <w:tr>
        <w:tblPrEx>
          <w:tblCellMar>
            <w:top w:w="0" w:type="dxa"/>
            <w:left w:w="108" w:type="dxa"/>
            <w:bottom w:w="0" w:type="dxa"/>
            <w:right w:w="108" w:type="dxa"/>
          </w:tblCellMar>
        </w:tblPrEx>
        <w:trPr>
          <w:trHeight w:val="1304"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1.4</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重金属</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每日进、出泥一测。监测分析方法按照CJ/T 221-2005重金属监测分析方法。要求所有处理后的污泥重金属含量日均值均低于处理前含量。</w:t>
            </w:r>
          </w:p>
        </w:tc>
      </w:tr>
      <w:tr>
        <w:tblPrEx>
          <w:tblCellMar>
            <w:top w:w="0" w:type="dxa"/>
            <w:left w:w="108" w:type="dxa"/>
            <w:bottom w:w="0" w:type="dxa"/>
            <w:right w:w="108" w:type="dxa"/>
          </w:tblCellMar>
        </w:tblPrEx>
        <w:trPr>
          <w:trHeight w:val="1531"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1.5</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污泥（总量）减量比</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测站人员现场记录该班次污泥的进泥泥量(W1)和出泥泥量（M2）计算污泥（重量）减量比，持续5天。要求5日内经处理后污泥（重量）减量比均≥60%。</w:t>
            </w:r>
          </w:p>
        </w:tc>
      </w:tr>
      <w:tr>
        <w:tblPrEx>
          <w:tblCellMar>
            <w:top w:w="0" w:type="dxa"/>
            <w:left w:w="108" w:type="dxa"/>
            <w:bottom w:w="0" w:type="dxa"/>
            <w:right w:w="108" w:type="dxa"/>
          </w:tblCellMar>
        </w:tblPrEx>
        <w:trPr>
          <w:trHeight w:val="1191"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1.6</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氯离子</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每批次进、出泥一测。监测分析方法依据《土壤氯离子含量的测定》电位滴定法NY/T 1378-2007。要求所有处理后的污泥氯离子浓度≤0.55×10</w:t>
            </w:r>
            <w:r>
              <w:rPr>
                <w:rFonts w:hint="eastAsia" w:ascii="仿宋_GB2312" w:hAnsi="仿宋_GB2312" w:eastAsia="仿宋_GB2312" w:cs="仿宋_GB2312"/>
                <w:kern w:val="0"/>
                <w:sz w:val="24"/>
                <w:vertAlign w:val="superscript"/>
              </w:rPr>
              <w:t>4</w:t>
            </w:r>
            <w:r>
              <w:rPr>
                <w:rFonts w:hint="eastAsia" w:ascii="仿宋_GB2312" w:hAnsi="仿宋_GB2312" w:eastAsia="仿宋_GB2312" w:cs="仿宋_GB2312"/>
                <w:kern w:val="0"/>
                <w:sz w:val="24"/>
              </w:rPr>
              <w:t>mg/kg。</w:t>
            </w:r>
          </w:p>
        </w:tc>
      </w:tr>
      <w:tr>
        <w:tblPrEx>
          <w:tblCellMar>
            <w:top w:w="0" w:type="dxa"/>
            <w:left w:w="108" w:type="dxa"/>
            <w:bottom w:w="0" w:type="dxa"/>
            <w:right w:w="108" w:type="dxa"/>
          </w:tblCellMar>
        </w:tblPrEx>
        <w:trPr>
          <w:trHeight w:val="850" w:hRule="atLeast"/>
        </w:trPr>
        <w:tc>
          <w:tcPr>
            <w:tcW w:w="709" w:type="dxa"/>
            <w:tcBorders>
              <w:top w:val="nil"/>
              <w:left w:val="single" w:color="000000" w:sz="8" w:space="0"/>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1.7</w:t>
            </w:r>
          </w:p>
        </w:tc>
        <w:tc>
          <w:tcPr>
            <w:tcW w:w="127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颗粒度</w:t>
            </w:r>
          </w:p>
        </w:tc>
        <w:tc>
          <w:tcPr>
            <w:tcW w:w="992"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合格/不合格</w:t>
            </w:r>
          </w:p>
        </w:tc>
        <w:tc>
          <w:tcPr>
            <w:tcW w:w="1417"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p>
        </w:tc>
        <w:tc>
          <w:tcPr>
            <w:tcW w:w="4246" w:type="dxa"/>
            <w:tcBorders>
              <w:top w:val="nil"/>
              <w:left w:val="nil"/>
              <w:bottom w:val="single" w:color="000000" w:sz="8" w:space="0"/>
              <w:right w:val="single" w:color="000000" w:sz="8" w:space="0"/>
            </w:tcBorders>
            <w:shd w:val="clear" w:color="auto" w:fill="auto"/>
            <w:vAlign w:val="center"/>
          </w:tcPr>
          <w:p>
            <w:pPr>
              <w:widowControl/>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每日干化出泥一测。采用筛孔直径为30 mm的圆孔试验筛，筛上物质量比例＜20%；采用筛孔直径为50 mm的圆孔试验筛，不应存在筛上物，筛上物达标，评定为“合格”。</w:t>
            </w:r>
          </w:p>
        </w:tc>
      </w:tr>
    </w:tbl>
    <w:p>
      <w:pPr>
        <w:keepNext/>
        <w:keepLines/>
        <w:spacing w:line="360" w:lineRule="auto"/>
        <w:outlineLvl w:val="1"/>
        <w:rPr>
          <w:rFonts w:ascii="Arial" w:hAnsi="Arial" w:eastAsia="楷体_GB2312" w:cs="Times New Roman"/>
          <w:b/>
          <w:sz w:val="32"/>
          <w:szCs w:val="22"/>
        </w:rPr>
      </w:pPr>
      <w:bookmarkStart w:id="48" w:name="_Toc18470"/>
      <w:bookmarkStart w:id="49" w:name="_Toc71483202"/>
      <w:r>
        <w:rPr>
          <w:rFonts w:hint="eastAsia" w:ascii="Arial" w:hAnsi="Arial" w:eastAsia="楷体_GB2312" w:cs="Times New Roman"/>
          <w:b/>
          <w:sz w:val="32"/>
          <w:szCs w:val="22"/>
        </w:rPr>
        <w:t>3.4样品保存的有关说明</w:t>
      </w:r>
      <w:bookmarkEnd w:id="48"/>
      <w:bookmarkEnd w:id="49"/>
    </w:p>
    <w:p>
      <w:pPr>
        <w:spacing w:line="360" w:lineRule="auto"/>
        <w:ind w:firstLine="640" w:firstLineChars="200"/>
        <w:rPr>
          <w:rFonts w:hint="eastAsia" w:ascii="等线" w:hAnsi="等线" w:eastAsia="仿宋_GB2312" w:cs="Times New Roman"/>
          <w:sz w:val="32"/>
          <w:szCs w:val="22"/>
        </w:rPr>
      </w:pPr>
      <w:r>
        <w:rPr>
          <w:rFonts w:hint="eastAsia" w:ascii="等线" w:hAnsi="等线" w:eastAsia="仿宋_GB2312" w:cs="Times New Roman"/>
          <w:sz w:val="32"/>
          <w:szCs w:val="22"/>
        </w:rPr>
        <w:t>样品保存具有特殊性要求，现场不具有长时间保存所有样品的能力，同时第三方检测单位也将对样品进行留样保存，故本次试验现场不对出泥进行保存。</w:t>
      </w:r>
    </w:p>
    <w:p>
      <w:pPr>
        <w:widowControl/>
        <w:rPr>
          <w:rFonts w:hint="eastAsia" w:ascii="等线" w:hAnsi="等线" w:eastAsia="仿宋_GB2312" w:cs="Times New Roman"/>
          <w:sz w:val="32"/>
          <w:szCs w:val="22"/>
        </w:rPr>
      </w:pPr>
      <w:r>
        <w:rPr>
          <w:rFonts w:ascii="等线" w:hAnsi="等线" w:eastAsia="仿宋_GB2312" w:cs="Times New Roman"/>
          <w:sz w:val="32"/>
          <w:szCs w:val="22"/>
        </w:rPr>
        <w:br w:type="page"/>
      </w:r>
    </w:p>
    <w:p>
      <w:pPr>
        <w:keepNext/>
        <w:keepLines/>
        <w:spacing w:line="360" w:lineRule="auto"/>
        <w:outlineLvl w:val="0"/>
        <w:rPr>
          <w:rFonts w:ascii="Times New Roman" w:hAnsi="Times New Roman" w:eastAsia="黑体" w:cs="Times New Roman"/>
          <w:b/>
          <w:kern w:val="44"/>
          <w:sz w:val="32"/>
          <w:szCs w:val="22"/>
        </w:rPr>
      </w:pPr>
      <w:bookmarkStart w:id="50" w:name="_Toc16010"/>
      <w:bookmarkStart w:id="51" w:name="_Toc71483204"/>
      <w:r>
        <w:rPr>
          <w:rFonts w:hint="eastAsia" w:ascii="Times New Roman" w:hAnsi="Times New Roman" w:eastAsia="黑体" w:cs="Times New Roman"/>
          <w:b/>
          <w:kern w:val="44"/>
          <w:sz w:val="32"/>
          <w:szCs w:val="22"/>
        </w:rPr>
        <w:t>四、试验风险及处理</w:t>
      </w:r>
      <w:bookmarkEnd w:id="50"/>
      <w:bookmarkEnd w:id="51"/>
    </w:p>
    <w:p>
      <w:pPr>
        <w:keepNext/>
        <w:keepLines/>
        <w:spacing w:line="360" w:lineRule="auto"/>
        <w:outlineLvl w:val="1"/>
        <w:rPr>
          <w:rFonts w:ascii="Arial" w:hAnsi="Arial" w:eastAsia="楷体_GB2312" w:cs="Times New Roman"/>
          <w:b/>
          <w:sz w:val="32"/>
          <w:szCs w:val="22"/>
        </w:rPr>
      </w:pPr>
      <w:bookmarkStart w:id="52" w:name="_Toc27039"/>
      <w:bookmarkStart w:id="53" w:name="_Toc71483205"/>
      <w:r>
        <w:rPr>
          <w:rFonts w:hint="eastAsia" w:ascii="Arial" w:hAnsi="Arial" w:eastAsia="楷体_GB2312" w:cs="Times New Roman"/>
          <w:b/>
          <w:sz w:val="32"/>
          <w:szCs w:val="22"/>
        </w:rPr>
        <w:t>4.1试验过程中的风险及责任</w:t>
      </w:r>
      <w:bookmarkEnd w:id="52"/>
      <w:bookmarkEnd w:id="53"/>
    </w:p>
    <w:p>
      <w:pPr>
        <w:spacing w:line="360" w:lineRule="auto"/>
        <w:jc w:val="center"/>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表4-1试验过程中的风险及责任表</w:t>
      </w:r>
    </w:p>
    <w:tbl>
      <w:tblPr>
        <w:tblStyle w:val="15"/>
        <w:tblW w:w="84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3872"/>
        <w:gridCol w:w="3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序号</w:t>
            </w:r>
          </w:p>
        </w:tc>
        <w:tc>
          <w:tcPr>
            <w:tcW w:w="3872" w:type="dxa"/>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风险</w:t>
            </w:r>
          </w:p>
        </w:tc>
        <w:tc>
          <w:tcPr>
            <w:tcW w:w="3872" w:type="dxa"/>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责任及处理方式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1</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试验过程中出现设备损坏等问题。</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由申请人负责承担设备的维修费用。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2</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试验过程中出现关于药剂侵权的举报问题等涉及药剂知识产权的问题。</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由申请人负责解决，广州净水公司保留追诉的权利。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3</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试验过程中板框出泥、干化出泥不达标。</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广州净水公司协助后续处理处置问题。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4</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试验过程中因操作不当造成人员伤亡等情况。</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由申请人负责人员的救治及赔偿工作。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5</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试验过程中设备出现质量问题等故障。</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由设备维修单位负责维修，申请人承担费用。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6</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试验过程中滤布等易耗品因正常磨损需要更换。</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由设备维修单位负责更换，申请人承担费用。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7</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试验过程中抽检发现药剂不符合安全数据说明书要求。</w:t>
            </w:r>
          </w:p>
        </w:tc>
        <w:tc>
          <w:tcPr>
            <w:tcW w:w="3872" w:type="dxa"/>
            <w:vAlign w:val="center"/>
          </w:tcPr>
          <w:p>
            <w:pPr>
              <w:spacing w:line="360" w:lineRule="auto"/>
              <w:rPr>
                <w:rFonts w:hint="eastAsia" w:ascii="仿宋_GB2312" w:hAnsi="仿宋_GB2312" w:eastAsia="仿宋_GB2312" w:cs="仿宋_GB2312"/>
                <w:sz w:val="24"/>
                <w:szCs w:val="32"/>
              </w:rPr>
            </w:pPr>
            <w:r>
              <w:rPr>
                <w:rFonts w:hint="eastAsia" w:ascii="仿宋_GB2312" w:hAnsi="仿宋_GB2312" w:eastAsia="仿宋_GB2312" w:cs="仿宋_GB2312"/>
                <w:sz w:val="24"/>
                <w:szCs w:val="32"/>
              </w:rPr>
              <w:t>由申请人负责更换达标药剂，相关试验结果作废。</w:t>
            </w:r>
          </w:p>
        </w:tc>
      </w:tr>
    </w:tbl>
    <w:p>
      <w:pPr>
        <w:keepNext/>
        <w:keepLines/>
        <w:spacing w:line="360" w:lineRule="auto"/>
        <w:outlineLvl w:val="1"/>
        <w:rPr>
          <w:rFonts w:ascii="Arial" w:hAnsi="Arial" w:eastAsia="楷体_GB2312" w:cs="Times New Roman"/>
          <w:b/>
          <w:sz w:val="32"/>
          <w:szCs w:val="22"/>
        </w:rPr>
      </w:pPr>
      <w:bookmarkStart w:id="54" w:name="_Toc15119"/>
      <w:bookmarkStart w:id="55" w:name="_Toc71483206"/>
      <w:r>
        <w:rPr>
          <w:rFonts w:hint="eastAsia" w:ascii="Arial" w:hAnsi="Arial" w:eastAsia="楷体_GB2312" w:cs="Times New Roman"/>
          <w:b/>
          <w:sz w:val="32"/>
          <w:szCs w:val="22"/>
        </w:rPr>
        <w:t>4.2风险方案</w:t>
      </w:r>
      <w:bookmarkEnd w:id="54"/>
      <w:bookmarkEnd w:id="55"/>
    </w:p>
    <w:p>
      <w:pPr>
        <w:ind w:firstLine="640" w:firstLineChars="200"/>
        <w:sectPr>
          <w:pgSz w:w="11906" w:h="16838"/>
          <w:pgMar w:top="1440" w:right="1800" w:bottom="1440" w:left="1800" w:header="851" w:footer="992" w:gutter="0"/>
          <w:cols w:space="425" w:num="1"/>
          <w:docGrid w:type="lines" w:linePitch="312" w:charSpace="0"/>
        </w:sectPr>
      </w:pPr>
      <w:r>
        <w:rPr>
          <w:rFonts w:hint="eastAsia" w:ascii="等线" w:hAnsi="等线" w:eastAsia="仿宋_GB2312" w:cs="Times New Roman"/>
          <w:sz w:val="32"/>
          <w:szCs w:val="22"/>
        </w:rPr>
        <w:t>申请人需根据实际情况提供风险方案。</w:t>
      </w:r>
    </w:p>
    <w:p>
      <w:pPr>
        <w:keepNext/>
        <w:keepLines/>
        <w:spacing w:line="360" w:lineRule="auto"/>
        <w:outlineLvl w:val="0"/>
        <w:rPr>
          <w:rFonts w:ascii="Times New Roman" w:hAnsi="Times New Roman" w:eastAsia="黑体" w:cs="Times New Roman"/>
          <w:b/>
          <w:kern w:val="44"/>
          <w:sz w:val="32"/>
          <w:szCs w:val="22"/>
        </w:rPr>
      </w:pPr>
      <w:bookmarkStart w:id="56" w:name="_Toc5732"/>
      <w:bookmarkStart w:id="57" w:name="_Toc66058767"/>
      <w:bookmarkStart w:id="58" w:name="_Toc66058615"/>
      <w:r>
        <w:rPr>
          <w:rFonts w:hint="eastAsia" w:ascii="Times New Roman" w:hAnsi="Times New Roman" w:eastAsia="黑体" w:cs="Times New Roman"/>
          <w:b/>
          <w:kern w:val="44"/>
          <w:sz w:val="32"/>
          <w:szCs w:val="22"/>
        </w:rPr>
        <w:t>附件1 工艺流程图</w:t>
      </w:r>
      <w:bookmarkEnd w:id="56"/>
      <w:bookmarkEnd w:id="57"/>
      <w:bookmarkEnd w:id="58"/>
    </w:p>
    <w:p>
      <w:pPr>
        <w:spacing w:line="360" w:lineRule="auto"/>
        <w:jc w:val="center"/>
        <w:rPr>
          <w:rFonts w:hint="eastAsia" w:ascii="仿宋_GB2312" w:hAnsi="等线" w:eastAsia="仿宋_GB2312" w:cs="Times New Roman"/>
          <w:sz w:val="32"/>
          <w:szCs w:val="22"/>
        </w:rPr>
      </w:pPr>
      <w:r>
        <w:rPr>
          <w:rFonts w:hint="eastAsia" w:ascii="仿宋_GB2312" w:hAnsi="等线" w:eastAsia="仿宋_GB2312" w:cs="Times New Roman"/>
          <w:sz w:val="32"/>
          <w:szCs w:val="22"/>
        </w:rPr>
        <w:drawing>
          <wp:inline distT="0" distB="0" distL="0" distR="0">
            <wp:extent cx="8241665" cy="46609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241665" cy="4660900"/>
                    </a:xfrm>
                    <a:prstGeom prst="rect">
                      <a:avLst/>
                    </a:prstGeom>
                  </pic:spPr>
                </pic:pic>
              </a:graphicData>
            </a:graphic>
          </wp:inline>
        </w:drawing>
      </w:r>
    </w:p>
    <w:p>
      <w:pPr>
        <w:keepNext/>
        <w:keepLines/>
        <w:spacing w:line="360" w:lineRule="auto"/>
        <w:outlineLvl w:val="0"/>
        <w:rPr>
          <w:rFonts w:ascii="Times New Roman" w:hAnsi="Times New Roman" w:eastAsia="黑体" w:cs="Times New Roman"/>
          <w:b/>
          <w:kern w:val="44"/>
          <w:sz w:val="32"/>
          <w:szCs w:val="22"/>
        </w:rPr>
      </w:pPr>
      <w:bookmarkStart w:id="59" w:name="_Toc32358"/>
      <w:r>
        <w:rPr>
          <w:rFonts w:hint="eastAsia" w:ascii="Times New Roman" w:hAnsi="Times New Roman" w:eastAsia="黑体" w:cs="Times New Roman"/>
          <w:b/>
          <w:kern w:val="44"/>
          <w:sz w:val="32"/>
          <w:szCs w:val="22"/>
        </w:rPr>
        <w:t>附件2</w:t>
      </w:r>
      <w:bookmarkEnd w:id="59"/>
    </w:p>
    <w:p>
      <w:pPr>
        <w:spacing w:line="360" w:lineRule="auto"/>
        <w:jc w:val="center"/>
        <w:rPr>
          <w:rFonts w:hint="eastAsia" w:ascii="方正小标宋简体" w:hAnsi="宋体" w:eastAsia="方正小标宋简体" w:cs="宋体"/>
          <w:b/>
          <w:bCs/>
          <w:kern w:val="0"/>
          <w:sz w:val="44"/>
          <w:szCs w:val="32"/>
        </w:rPr>
      </w:pPr>
      <w:r>
        <w:rPr>
          <w:rFonts w:hint="eastAsia" w:ascii="方正小标宋简体" w:hAnsi="宋体" w:eastAsia="方正小标宋简体" w:cs="宋体"/>
          <w:b/>
          <w:bCs/>
          <w:kern w:val="0"/>
          <w:sz w:val="44"/>
          <w:szCs w:val="32"/>
        </w:rPr>
        <w:t>生产性试验考核记录表格</w:t>
      </w:r>
    </w:p>
    <w:p>
      <w:pPr>
        <w:snapToGrid w:val="0"/>
        <w:jc w:val="center"/>
        <w:rPr>
          <w:rFonts w:ascii="方正小标宋简体" w:hAnsi="Arial" w:eastAsia="方正小标宋简体" w:cs="Arial"/>
          <w:sz w:val="44"/>
          <w:szCs w:val="44"/>
        </w:rPr>
      </w:pPr>
      <w:r>
        <w:rPr>
          <w:rFonts w:hint="eastAsia" w:ascii="方正小标宋简体" w:hAnsi="黑体" w:eastAsia="方正小标宋简体" w:cs="黑体"/>
          <w:sz w:val="44"/>
          <w:szCs w:val="44"/>
        </w:rPr>
        <w:t>表 1</w:t>
      </w:r>
      <w:bookmarkStart w:id="60" w:name="_Hlk65156668"/>
      <w:r>
        <w:rPr>
          <w:rFonts w:hint="eastAsia" w:ascii="方正小标宋简体" w:hAnsi="黑体" w:eastAsia="方正小标宋简体" w:cs="黑体"/>
          <w:sz w:val="44"/>
          <w:szCs w:val="44"/>
        </w:rPr>
        <w:t>：</w:t>
      </w:r>
      <w:r>
        <w:rPr>
          <w:rFonts w:hint="eastAsia" w:ascii="方正小标宋简体" w:hAnsi="Arial" w:eastAsia="方正小标宋简体" w:cs="Arial"/>
          <w:sz w:val="44"/>
          <w:szCs w:val="44"/>
        </w:rPr>
        <w:t>现场记录指标记录表</w:t>
      </w:r>
    </w:p>
    <w:bookmarkEnd w:id="60"/>
    <w:p>
      <w:pPr>
        <w:autoSpaceDE w:val="0"/>
        <w:autoSpaceDN w:val="0"/>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记录日期 </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年</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月</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日</w:t>
      </w:r>
      <w:r>
        <w:rPr>
          <w:rFonts w:ascii="仿宋_GB2312" w:hAnsi="仿宋_GB2312" w:eastAsia="仿宋_GB2312" w:cs="仿宋_GB2312"/>
          <w:kern w:val="0"/>
          <w:sz w:val="24"/>
        </w:rPr>
        <w:t xml:space="preserve"> </w:t>
      </w:r>
      <w:r>
        <w:rPr>
          <w:rFonts w:hint="eastAsia" w:ascii="仿宋_GB2312" w:hAnsi="仿宋_GB2312" w:eastAsia="仿宋_GB2312" w:cs="仿宋_GB2312"/>
          <w:kern w:val="0"/>
          <w:sz w:val="24"/>
        </w:rPr>
        <w:t xml:space="preserve"> </w:t>
      </w:r>
      <w:r>
        <w:rPr>
          <w:rFonts w:ascii="仿宋_GB2312" w:hAnsi="仿宋_GB2312" w:eastAsia="仿宋_GB2312" w:cs="仿宋_GB2312"/>
          <w:kern w:val="0"/>
          <w:sz w:val="24"/>
        </w:rPr>
        <w:t xml:space="preserve">            记录时间</w:t>
      </w:r>
    </w:p>
    <w:tbl>
      <w:tblPr>
        <w:tblStyle w:val="21"/>
        <w:tblW w:w="13289" w:type="dxa"/>
        <w:tblInd w:w="3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66"/>
        <w:gridCol w:w="1559"/>
        <w:gridCol w:w="1843"/>
        <w:gridCol w:w="2126"/>
        <w:gridCol w:w="2693"/>
        <w:gridCol w:w="34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1666" w:type="dxa"/>
            <w:vAlign w:val="center"/>
          </w:tcPr>
          <w:p>
            <w:pPr>
              <w:autoSpaceDE w:val="0"/>
              <w:autoSpaceDN w:val="0"/>
              <w:ind w:right="69"/>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批次（时间）</w:t>
            </w:r>
          </w:p>
        </w:tc>
        <w:tc>
          <w:tcPr>
            <w:tcW w:w="1559" w:type="dxa"/>
            <w:vAlign w:val="center"/>
          </w:tcPr>
          <w:p>
            <w:pPr>
              <w:autoSpaceDE w:val="0"/>
              <w:autoSpaceDN w:val="0"/>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取样位置</w:t>
            </w:r>
          </w:p>
        </w:tc>
        <w:tc>
          <w:tcPr>
            <w:tcW w:w="1843" w:type="dxa"/>
            <w:vAlign w:val="center"/>
          </w:tcPr>
          <w:p>
            <w:pPr>
              <w:autoSpaceDE w:val="0"/>
              <w:autoSpaceDN w:val="0"/>
              <w:ind w:right="137"/>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快测检测项目</w:t>
            </w:r>
          </w:p>
        </w:tc>
        <w:tc>
          <w:tcPr>
            <w:tcW w:w="2126" w:type="dxa"/>
            <w:vAlign w:val="center"/>
          </w:tcPr>
          <w:p>
            <w:pPr>
              <w:autoSpaceDE w:val="0"/>
              <w:autoSpaceDN w:val="0"/>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检测平均值</w:t>
            </w:r>
          </w:p>
        </w:tc>
        <w:tc>
          <w:tcPr>
            <w:tcW w:w="2693" w:type="dxa"/>
            <w:vAlign w:val="center"/>
          </w:tcPr>
          <w:p>
            <w:pPr>
              <w:autoSpaceDE w:val="0"/>
              <w:autoSpaceDN w:val="0"/>
              <w:ind w:right="699"/>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限值</w:t>
            </w:r>
          </w:p>
        </w:tc>
        <w:tc>
          <w:tcPr>
            <w:tcW w:w="3402" w:type="dxa"/>
            <w:vAlign w:val="center"/>
          </w:tcPr>
          <w:p>
            <w:pPr>
              <w:autoSpaceDE w:val="0"/>
              <w:autoSpaceDN w:val="0"/>
              <w:rPr>
                <w:rFonts w:hint="eastAsia" w:ascii="仿宋_GB2312" w:hAnsi="仿宋_GB2312" w:eastAsia="仿宋_GB2312" w:cs="仿宋_GB2312"/>
                <w:b/>
                <w:bCs/>
                <w:kern w:val="0"/>
                <w:sz w:val="24"/>
                <w:lang w:eastAsia="en-US"/>
              </w:rPr>
            </w:pPr>
            <w:r>
              <w:rPr>
                <w:rFonts w:hint="eastAsia" w:ascii="仿宋_GB2312" w:hAnsi="仿宋_GB2312" w:eastAsia="仿宋_GB2312" w:cs="仿宋_GB2312"/>
                <w:b/>
                <w:bCs/>
                <w:kern w:val="0"/>
                <w:sz w:val="24"/>
                <w:lang w:eastAsia="en-U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1666" w:type="dxa"/>
            <w:vAlign w:val="center"/>
          </w:tcPr>
          <w:p>
            <w:pPr>
              <w:autoSpaceDE w:val="0"/>
              <w:autoSpaceDN w:val="0"/>
              <w:rPr>
                <w:rFonts w:hint="eastAsia" w:ascii="仿宋_GB2312" w:hAnsi="仿宋_GB2312" w:eastAsia="仿宋_GB2312" w:cs="仿宋_GB2312"/>
                <w:kern w:val="0"/>
                <w:sz w:val="24"/>
                <w:lang w:eastAsia="en-US"/>
              </w:rPr>
            </w:pPr>
          </w:p>
        </w:tc>
        <w:tc>
          <w:tcPr>
            <w:tcW w:w="1559" w:type="dxa"/>
            <w:vMerge w:val="restart"/>
            <w:vAlign w:val="center"/>
          </w:tcPr>
          <w:p>
            <w:pPr>
              <w:autoSpaceDE w:val="0"/>
              <w:autoSpaceDN w:val="0"/>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进泥取样口</w:t>
            </w:r>
          </w:p>
        </w:tc>
        <w:tc>
          <w:tcPr>
            <w:tcW w:w="1843" w:type="dxa"/>
            <w:vAlign w:val="center"/>
          </w:tcPr>
          <w:p>
            <w:pPr>
              <w:autoSpaceDE w:val="0"/>
              <w:autoSpaceDN w:val="0"/>
              <w:ind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密度</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rPr>
                <w:rFonts w:hint="eastAsia" w:ascii="仿宋_GB2312" w:hAnsi="仿宋_GB2312" w:eastAsia="仿宋_GB2312" w:cs="仿宋_GB2312"/>
                <w:kern w:val="0"/>
                <w:sz w:val="24"/>
                <w:lang w:eastAsia="en-US"/>
              </w:rPr>
            </w:pPr>
            <w:r>
              <w:rPr>
                <w:rFonts w:hint="eastAsia" w:ascii="仿宋_GB2312" w:hAnsi="仿宋_GB2312" w:eastAsia="仿宋_GB2312" w:cs="仿宋_GB2312"/>
                <w:w w:val="99"/>
                <w:kern w:val="0"/>
                <w:sz w:val="24"/>
                <w:lang w:eastAsia="en-US"/>
              </w:rPr>
              <w:t>—</w:t>
            </w:r>
          </w:p>
        </w:tc>
        <w:tc>
          <w:tcPr>
            <w:tcW w:w="3402" w:type="dxa"/>
            <w:vAlign w:val="center"/>
          </w:tcPr>
          <w:p>
            <w:pPr>
              <w:autoSpaceDE w:val="0"/>
              <w:autoSpaceDN w:val="0"/>
              <w:spacing w:line="319" w:lineRule="auto"/>
              <w:ind w:right="4"/>
              <w:rPr>
                <w:rFonts w:hint="eastAsia" w:ascii="仿宋_GB2312" w:hAnsi="仿宋_GB2312" w:eastAsia="仿宋_GB2312" w:cs="仿宋_GB2312"/>
                <w:kern w:val="0"/>
                <w:sz w:val="24"/>
                <w:lang w:eastAsia="zh-CN"/>
              </w:rPr>
            </w:pPr>
            <w:r>
              <w:rPr>
                <w:rFonts w:hint="eastAsia" w:ascii="仿宋_GB2312" w:hAnsi="仿宋_GB2312" w:eastAsia="仿宋_GB2312" w:cs="仿宋_GB2312"/>
                <w:kern w:val="0"/>
                <w:sz w:val="24"/>
                <w:lang w:eastAsia="zh-CN"/>
              </w:rPr>
              <w:t>用于核算污泥（重</w:t>
            </w:r>
            <w:r>
              <w:rPr>
                <w:rFonts w:hint="eastAsia" w:ascii="仿宋_GB2312" w:hAnsi="仿宋_GB2312" w:eastAsia="仿宋_GB2312" w:cs="仿宋_GB2312"/>
                <w:w w:val="95"/>
                <w:kern w:val="0"/>
                <w:sz w:val="24"/>
                <w:lang w:eastAsia="zh-CN"/>
              </w:rPr>
              <w:t>量）减量比</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1666" w:type="dxa"/>
            <w:vAlign w:val="center"/>
          </w:tcPr>
          <w:p>
            <w:pPr>
              <w:autoSpaceDE w:val="0"/>
              <w:autoSpaceDN w:val="0"/>
              <w:spacing w:before="141"/>
              <w:ind w:left="6"/>
              <w:rPr>
                <w:rFonts w:hint="eastAsia" w:ascii="仿宋_GB2312" w:hAnsi="仿宋_GB2312" w:eastAsia="仿宋_GB2312" w:cs="仿宋_GB2312"/>
                <w:kern w:val="0"/>
                <w:sz w:val="24"/>
                <w:lang w:eastAsia="zh-CN"/>
              </w:rPr>
            </w:pPr>
          </w:p>
        </w:tc>
        <w:tc>
          <w:tcPr>
            <w:tcW w:w="1559" w:type="dxa"/>
            <w:vMerge w:val="continue"/>
            <w:tcBorders>
              <w:top w:val="nil"/>
            </w:tcBorders>
            <w:vAlign w:val="center"/>
          </w:tcPr>
          <w:p>
            <w:pPr>
              <w:autoSpaceDE w:val="0"/>
              <w:autoSpaceDN w:val="0"/>
              <w:spacing w:line="360" w:lineRule="auto"/>
              <w:rPr>
                <w:rFonts w:hint="eastAsia" w:ascii="仿宋_GB2312" w:hAnsi="仿宋_GB2312" w:eastAsia="仿宋_GB2312" w:cs="仿宋_GB2312"/>
                <w:sz w:val="24"/>
                <w:szCs w:val="22"/>
                <w:lang w:eastAsia="zh-CN"/>
              </w:rPr>
            </w:pPr>
          </w:p>
        </w:tc>
        <w:tc>
          <w:tcPr>
            <w:tcW w:w="1843" w:type="dxa"/>
            <w:vAlign w:val="center"/>
          </w:tcPr>
          <w:p>
            <w:pPr>
              <w:autoSpaceDE w:val="0"/>
              <w:autoSpaceDN w:val="0"/>
              <w:spacing w:before="141"/>
              <w:ind w:left="143"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含水率</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1"/>
              <w:ind w:left="8"/>
              <w:rPr>
                <w:rFonts w:hint="eastAsia" w:ascii="仿宋_GB2312" w:hAnsi="仿宋_GB2312" w:eastAsia="仿宋_GB2312" w:cs="仿宋_GB2312"/>
                <w:kern w:val="0"/>
                <w:sz w:val="24"/>
                <w:lang w:eastAsia="en-US"/>
              </w:rPr>
            </w:pPr>
            <w:r>
              <w:rPr>
                <w:rFonts w:hint="eastAsia" w:ascii="仿宋_GB2312" w:hAnsi="仿宋_GB2312" w:eastAsia="仿宋_GB2312" w:cs="仿宋_GB2312"/>
                <w:w w:val="99"/>
                <w:kern w:val="0"/>
                <w:sz w:val="24"/>
                <w:lang w:eastAsia="en-US"/>
              </w:rPr>
              <w:t>—</w:t>
            </w:r>
          </w:p>
        </w:tc>
        <w:tc>
          <w:tcPr>
            <w:tcW w:w="3402" w:type="dxa"/>
            <w:vAlign w:val="center"/>
          </w:tcPr>
          <w:p>
            <w:pPr>
              <w:autoSpaceDE w:val="0"/>
              <w:autoSpaceDN w:val="0"/>
              <w:rPr>
                <w:rFonts w:hint="eastAsia" w:ascii="仿宋_GB2312" w:hAnsi="仿宋_GB2312" w:eastAsia="仿宋_GB2312" w:cs="仿宋_GB2312"/>
                <w:kern w:val="0"/>
                <w:sz w:val="24"/>
                <w:lang w:eastAsia="zh-CN"/>
              </w:rPr>
            </w:pPr>
            <w:r>
              <w:rPr>
                <w:rFonts w:hint="eastAsia" w:ascii="仿宋_GB2312" w:hAnsi="仿宋_GB2312" w:eastAsia="仿宋_GB2312" w:cs="仿宋_GB2312"/>
                <w:kern w:val="0"/>
                <w:sz w:val="24"/>
                <w:lang w:eastAsia="zh-CN"/>
              </w:rPr>
              <w:t>用于核算污泥（重</w:t>
            </w:r>
            <w:r>
              <w:rPr>
                <w:rFonts w:hint="eastAsia" w:ascii="仿宋_GB2312" w:hAnsi="仿宋_GB2312" w:eastAsia="仿宋_GB2312" w:cs="仿宋_GB2312"/>
                <w:w w:val="95"/>
                <w:kern w:val="0"/>
                <w:sz w:val="24"/>
                <w:lang w:eastAsia="zh-CN"/>
              </w:rPr>
              <w:t>量）减量比</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7" w:hRule="atLeast"/>
        </w:trPr>
        <w:tc>
          <w:tcPr>
            <w:tcW w:w="1666" w:type="dxa"/>
            <w:vAlign w:val="center"/>
          </w:tcPr>
          <w:p>
            <w:pPr>
              <w:autoSpaceDE w:val="0"/>
              <w:autoSpaceDN w:val="0"/>
              <w:spacing w:before="141"/>
              <w:ind w:left="6"/>
              <w:rPr>
                <w:rFonts w:hint="eastAsia" w:ascii="仿宋_GB2312" w:hAnsi="仿宋_GB2312" w:eastAsia="仿宋_GB2312" w:cs="仿宋_GB2312"/>
                <w:kern w:val="0"/>
                <w:sz w:val="24"/>
                <w:lang w:eastAsia="zh-CN"/>
              </w:rPr>
            </w:pPr>
          </w:p>
        </w:tc>
        <w:tc>
          <w:tcPr>
            <w:tcW w:w="1559" w:type="dxa"/>
            <w:vMerge w:val="continue"/>
            <w:tcBorders>
              <w:top w:val="nil"/>
            </w:tcBorders>
            <w:vAlign w:val="center"/>
          </w:tcPr>
          <w:p>
            <w:pPr>
              <w:autoSpaceDE w:val="0"/>
              <w:autoSpaceDN w:val="0"/>
              <w:spacing w:line="360" w:lineRule="auto"/>
              <w:rPr>
                <w:rFonts w:hint="eastAsia" w:ascii="仿宋_GB2312" w:hAnsi="仿宋_GB2312" w:eastAsia="仿宋_GB2312" w:cs="仿宋_GB2312"/>
                <w:sz w:val="24"/>
                <w:szCs w:val="22"/>
                <w:lang w:eastAsia="zh-CN"/>
              </w:rPr>
            </w:pPr>
          </w:p>
        </w:tc>
        <w:tc>
          <w:tcPr>
            <w:tcW w:w="1843" w:type="dxa"/>
            <w:vAlign w:val="center"/>
          </w:tcPr>
          <w:p>
            <w:pPr>
              <w:autoSpaceDE w:val="0"/>
              <w:autoSpaceDN w:val="0"/>
              <w:spacing w:before="141"/>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进泥量</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1"/>
              <w:ind w:left="706" w:right="697"/>
              <w:rPr>
                <w:rFonts w:hint="eastAsia" w:ascii="仿宋_GB2312" w:hAnsi="仿宋_GB2312" w:eastAsia="仿宋_GB2312" w:cs="仿宋_GB2312"/>
                <w:kern w:val="0"/>
                <w:sz w:val="24"/>
                <w:lang w:eastAsia="en-US"/>
              </w:rPr>
            </w:pPr>
            <w:r>
              <w:rPr>
                <w:rFonts w:hint="eastAsia" w:ascii="仿宋_GB2312" w:hAnsi="仿宋_GB2312" w:eastAsia="仿宋_GB2312" w:cs="仿宋_GB2312"/>
                <w:w w:val="99"/>
                <w:kern w:val="0"/>
                <w:sz w:val="24"/>
                <w:lang w:eastAsia="en-US"/>
              </w:rPr>
              <w:t>—</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1666" w:type="dxa"/>
            <w:vAlign w:val="center"/>
          </w:tcPr>
          <w:p>
            <w:pPr>
              <w:autoSpaceDE w:val="0"/>
              <w:autoSpaceDN w:val="0"/>
              <w:spacing w:before="140"/>
              <w:ind w:left="6"/>
              <w:rPr>
                <w:rFonts w:hint="eastAsia" w:ascii="仿宋_GB2312" w:hAnsi="仿宋_GB2312" w:eastAsia="仿宋_GB2312" w:cs="仿宋_GB2312"/>
                <w:kern w:val="0"/>
                <w:sz w:val="24"/>
                <w:lang w:eastAsia="en-US"/>
              </w:rPr>
            </w:pPr>
          </w:p>
        </w:tc>
        <w:tc>
          <w:tcPr>
            <w:tcW w:w="1559" w:type="dxa"/>
            <w:vMerge w:val="restart"/>
            <w:vAlign w:val="center"/>
          </w:tcPr>
          <w:p>
            <w:pPr>
              <w:autoSpaceDE w:val="0"/>
              <w:autoSpaceDN w:val="0"/>
              <w:spacing w:line="321" w:lineRule="auto"/>
              <w:ind w:right="74"/>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板框机压滤出泥</w:t>
            </w:r>
          </w:p>
        </w:tc>
        <w:tc>
          <w:tcPr>
            <w:tcW w:w="1843" w:type="dxa"/>
            <w:vAlign w:val="center"/>
          </w:tcPr>
          <w:p>
            <w:pPr>
              <w:autoSpaceDE w:val="0"/>
              <w:autoSpaceDN w:val="0"/>
              <w:spacing w:before="140"/>
              <w:ind w:left="143"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含水率</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0"/>
              <w:ind w:left="706" w:right="699"/>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55%</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666" w:type="dxa"/>
            <w:vAlign w:val="center"/>
          </w:tcPr>
          <w:p>
            <w:pPr>
              <w:autoSpaceDE w:val="0"/>
              <w:autoSpaceDN w:val="0"/>
              <w:spacing w:before="148"/>
              <w:ind w:left="6"/>
              <w:rPr>
                <w:rFonts w:hint="eastAsia" w:ascii="仿宋_GB2312" w:hAnsi="仿宋_GB2312" w:eastAsia="仿宋_GB2312" w:cs="仿宋_GB2312"/>
                <w:w w:val="99"/>
                <w:kern w:val="0"/>
                <w:sz w:val="24"/>
                <w:lang w:eastAsia="en-US"/>
              </w:rPr>
            </w:pPr>
          </w:p>
        </w:tc>
        <w:tc>
          <w:tcPr>
            <w:tcW w:w="1559" w:type="dxa"/>
            <w:vMerge w:val="continue"/>
            <w:tcBorders>
              <w:bottom w:val="single" w:color="auto" w:sz="4" w:space="0"/>
            </w:tcBorders>
            <w:vAlign w:val="center"/>
          </w:tcPr>
          <w:p>
            <w:pPr>
              <w:autoSpaceDE w:val="0"/>
              <w:autoSpaceDN w:val="0"/>
              <w:spacing w:line="360" w:lineRule="auto"/>
              <w:rPr>
                <w:rFonts w:hint="eastAsia" w:ascii="仿宋_GB2312" w:hAnsi="仿宋_GB2312" w:eastAsia="仿宋_GB2312" w:cs="仿宋_GB2312"/>
                <w:sz w:val="24"/>
                <w:szCs w:val="22"/>
                <w:lang w:eastAsia="en-US"/>
              </w:rPr>
            </w:pPr>
          </w:p>
        </w:tc>
        <w:tc>
          <w:tcPr>
            <w:tcW w:w="1843" w:type="dxa"/>
            <w:vAlign w:val="center"/>
          </w:tcPr>
          <w:p>
            <w:pPr>
              <w:autoSpaceDE w:val="0"/>
              <w:autoSpaceDN w:val="0"/>
              <w:spacing w:before="148"/>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氯离子</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adjustRightInd w:val="0"/>
              <w:snapToGrid w:val="0"/>
              <w:rPr>
                <w:rFonts w:hint="eastAsia" w:ascii="仿宋_GB2312" w:hAnsi="仿宋_GB2312" w:eastAsia="仿宋_GB2312" w:cs="仿宋_GB2312"/>
                <w:w w:val="99"/>
                <w:kern w:val="0"/>
                <w:sz w:val="24"/>
                <w:lang w:eastAsia="en-US"/>
              </w:rPr>
            </w:pPr>
            <w:r>
              <w:rPr>
                <w:rFonts w:hint="eastAsia" w:ascii="仿宋_GB2312" w:hAnsi="宋体" w:eastAsia="仿宋_GB2312" w:cs="宋体"/>
                <w:kern w:val="0"/>
                <w:sz w:val="24"/>
                <w:szCs w:val="22"/>
                <w:lang w:eastAsia="en-US"/>
              </w:rPr>
              <w:t>≤</w:t>
            </w:r>
            <w:r>
              <w:rPr>
                <w:rFonts w:ascii="仿宋_GB2312" w:hAnsi="宋体" w:eastAsia="仿宋_GB2312" w:cs="宋体"/>
                <w:kern w:val="0"/>
                <w:sz w:val="24"/>
                <w:szCs w:val="22"/>
                <w:lang w:eastAsia="en-US"/>
              </w:rPr>
              <w:t>0.55╳10</w:t>
            </w:r>
            <w:r>
              <w:rPr>
                <w:rFonts w:ascii="仿宋_GB2312" w:hAnsi="宋体" w:eastAsia="仿宋_GB2312" w:cs="宋体"/>
                <w:kern w:val="0"/>
                <w:sz w:val="24"/>
                <w:szCs w:val="22"/>
                <w:vertAlign w:val="superscript"/>
                <w:lang w:eastAsia="en-US"/>
              </w:rPr>
              <w:t>4</w:t>
            </w:r>
            <w:r>
              <w:rPr>
                <w:rFonts w:ascii="仿宋_GB2312" w:hAnsi="宋体" w:eastAsia="仿宋_GB2312" w:cs="宋体"/>
                <w:kern w:val="0"/>
                <w:sz w:val="24"/>
                <w:szCs w:val="22"/>
                <w:lang w:eastAsia="en-US"/>
              </w:rPr>
              <w:t>mg/kg</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 w:hRule="atLeast"/>
        </w:trPr>
        <w:tc>
          <w:tcPr>
            <w:tcW w:w="1666" w:type="dxa"/>
            <w:vAlign w:val="center"/>
          </w:tcPr>
          <w:p>
            <w:pPr>
              <w:autoSpaceDE w:val="0"/>
              <w:autoSpaceDN w:val="0"/>
              <w:spacing w:before="148"/>
              <w:ind w:left="6"/>
              <w:rPr>
                <w:rFonts w:hint="eastAsia" w:ascii="仿宋_GB2312" w:hAnsi="仿宋_GB2312" w:eastAsia="仿宋_GB2312" w:cs="仿宋_GB2312"/>
                <w:w w:val="99"/>
                <w:kern w:val="0"/>
                <w:sz w:val="24"/>
                <w:lang w:eastAsia="en-US"/>
              </w:rPr>
            </w:pPr>
          </w:p>
        </w:tc>
        <w:tc>
          <w:tcPr>
            <w:tcW w:w="1559" w:type="dxa"/>
            <w:vMerge w:val="restart"/>
            <w:tcBorders>
              <w:top w:val="single" w:color="auto" w:sz="4" w:space="0"/>
            </w:tcBorders>
            <w:vAlign w:val="center"/>
          </w:tcPr>
          <w:p>
            <w:pPr>
              <w:autoSpaceDE w:val="0"/>
              <w:autoSpaceDN w:val="0"/>
              <w:spacing w:line="360" w:lineRule="auto"/>
              <w:rPr>
                <w:rFonts w:hint="eastAsia" w:ascii="仿宋_GB2312" w:hAnsi="仿宋_GB2312" w:eastAsia="仿宋_GB2312" w:cs="仿宋_GB2312"/>
                <w:sz w:val="24"/>
                <w:szCs w:val="22"/>
                <w:lang w:eastAsia="en-US"/>
              </w:rPr>
            </w:pPr>
            <w:r>
              <w:rPr>
                <w:rFonts w:hint="eastAsia" w:ascii="仿宋_GB2312" w:hAnsi="仿宋_GB2312" w:eastAsia="仿宋_GB2312" w:cs="仿宋_GB2312"/>
                <w:sz w:val="24"/>
                <w:szCs w:val="22"/>
                <w:lang w:eastAsia="en-US"/>
              </w:rPr>
              <w:t>试验出泥</w:t>
            </w:r>
          </w:p>
        </w:tc>
        <w:tc>
          <w:tcPr>
            <w:tcW w:w="1843" w:type="dxa"/>
            <w:vAlign w:val="center"/>
          </w:tcPr>
          <w:p>
            <w:pPr>
              <w:autoSpaceDE w:val="0"/>
              <w:autoSpaceDN w:val="0"/>
              <w:spacing w:before="148"/>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含水率</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spacing w:before="148"/>
              <w:ind w:left="706" w:right="699"/>
              <w:rPr>
                <w:rFonts w:hint="eastAsia" w:ascii="仿宋_GB2312" w:hAnsi="仿宋_GB2312" w:eastAsia="仿宋_GB2312" w:cs="仿宋_GB2312"/>
                <w:w w:val="99"/>
                <w:kern w:val="0"/>
                <w:sz w:val="24"/>
                <w:lang w:eastAsia="en-US"/>
              </w:rPr>
            </w:pPr>
            <w:r>
              <w:rPr>
                <w:rFonts w:hint="eastAsia" w:ascii="仿宋_GB2312" w:hAnsi="仿宋_GB2312" w:eastAsia="仿宋_GB2312" w:cs="仿宋_GB2312"/>
                <w:kern w:val="0"/>
                <w:sz w:val="24"/>
                <w:lang w:eastAsia="en-US"/>
              </w:rPr>
              <w:t>30%～40%</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 w:hRule="atLeast"/>
        </w:trPr>
        <w:tc>
          <w:tcPr>
            <w:tcW w:w="1666" w:type="dxa"/>
            <w:vAlign w:val="center"/>
          </w:tcPr>
          <w:p>
            <w:pPr>
              <w:autoSpaceDE w:val="0"/>
              <w:autoSpaceDN w:val="0"/>
              <w:spacing w:before="148"/>
              <w:ind w:left="6"/>
              <w:rPr>
                <w:rFonts w:hint="eastAsia" w:ascii="仿宋_GB2312" w:hAnsi="仿宋_GB2312" w:eastAsia="仿宋_GB2312" w:cs="仿宋_GB2312"/>
                <w:w w:val="99"/>
                <w:kern w:val="0"/>
                <w:sz w:val="24"/>
                <w:lang w:eastAsia="en-US"/>
              </w:rPr>
            </w:pPr>
          </w:p>
        </w:tc>
        <w:tc>
          <w:tcPr>
            <w:tcW w:w="1559" w:type="dxa"/>
            <w:vMerge w:val="continue"/>
            <w:vAlign w:val="center"/>
          </w:tcPr>
          <w:p>
            <w:pPr>
              <w:autoSpaceDE w:val="0"/>
              <w:autoSpaceDN w:val="0"/>
              <w:spacing w:line="360" w:lineRule="auto"/>
              <w:rPr>
                <w:rFonts w:hint="eastAsia" w:ascii="仿宋_GB2312" w:hAnsi="仿宋_GB2312" w:eastAsia="仿宋_GB2312" w:cs="仿宋_GB2312"/>
                <w:sz w:val="24"/>
                <w:szCs w:val="22"/>
                <w:lang w:eastAsia="en-US"/>
              </w:rPr>
            </w:pPr>
          </w:p>
        </w:tc>
        <w:tc>
          <w:tcPr>
            <w:tcW w:w="1843" w:type="dxa"/>
            <w:vAlign w:val="center"/>
          </w:tcPr>
          <w:p>
            <w:pPr>
              <w:autoSpaceDE w:val="0"/>
              <w:autoSpaceDN w:val="0"/>
              <w:spacing w:before="148"/>
              <w:ind w:left="145" w:right="137"/>
              <w:rPr>
                <w:rFonts w:hint="eastAsia" w:ascii="仿宋_GB2312" w:hAnsi="仿宋_GB2312" w:eastAsia="仿宋_GB2312" w:cs="仿宋_GB2312"/>
                <w:kern w:val="0"/>
                <w:sz w:val="24"/>
                <w:lang w:eastAsia="en-US"/>
              </w:rPr>
            </w:pPr>
            <w:r>
              <w:rPr>
                <w:rFonts w:hint="eastAsia" w:ascii="仿宋_GB2312" w:hAnsi="仿宋_GB2312" w:eastAsia="仿宋_GB2312" w:cs="仿宋_GB2312"/>
                <w:kern w:val="0"/>
                <w:sz w:val="24"/>
                <w:lang w:eastAsia="en-US"/>
              </w:rPr>
              <w:t>pH 值</w:t>
            </w:r>
          </w:p>
        </w:tc>
        <w:tc>
          <w:tcPr>
            <w:tcW w:w="2126" w:type="dxa"/>
            <w:vAlign w:val="center"/>
          </w:tcPr>
          <w:p>
            <w:pPr>
              <w:autoSpaceDE w:val="0"/>
              <w:autoSpaceDN w:val="0"/>
              <w:rPr>
                <w:rFonts w:hint="eastAsia" w:ascii="仿宋_GB2312" w:hAnsi="仿宋_GB2312" w:eastAsia="仿宋_GB2312" w:cs="仿宋_GB2312"/>
                <w:kern w:val="0"/>
                <w:sz w:val="24"/>
                <w:lang w:eastAsia="en-US"/>
              </w:rPr>
            </w:pPr>
          </w:p>
        </w:tc>
        <w:tc>
          <w:tcPr>
            <w:tcW w:w="2693" w:type="dxa"/>
            <w:vAlign w:val="center"/>
          </w:tcPr>
          <w:p>
            <w:pPr>
              <w:autoSpaceDE w:val="0"/>
              <w:autoSpaceDN w:val="0"/>
              <w:rPr>
                <w:rFonts w:hint="eastAsia" w:ascii="仿宋_GB2312" w:hAnsi="仿宋_GB2312" w:eastAsia="仿宋_GB2312" w:cs="仿宋_GB2312"/>
                <w:w w:val="99"/>
                <w:kern w:val="0"/>
                <w:sz w:val="24"/>
                <w:lang w:eastAsia="en-US"/>
              </w:rPr>
            </w:pPr>
            <w:r>
              <w:rPr>
                <w:rFonts w:hint="eastAsia" w:ascii="仿宋_GB2312" w:hAnsi="仿宋_GB2312" w:eastAsia="仿宋_GB2312" w:cs="仿宋_GB2312"/>
                <w:kern w:val="0"/>
                <w:sz w:val="24"/>
                <w:lang w:eastAsia="en-US"/>
              </w:rPr>
              <w:t>5</w:t>
            </w:r>
            <w:r>
              <w:rPr>
                <w:rFonts w:ascii="仿宋_GB2312" w:hAnsi="仿宋_GB2312" w:eastAsia="仿宋_GB2312" w:cs="仿宋_GB2312"/>
                <w:kern w:val="0"/>
                <w:sz w:val="24"/>
                <w:lang w:eastAsia="en-US"/>
              </w:rPr>
              <w:t>-1</w:t>
            </w:r>
            <w:r>
              <w:rPr>
                <w:rFonts w:hint="eastAsia" w:ascii="仿宋_GB2312" w:hAnsi="仿宋_GB2312" w:eastAsia="仿宋_GB2312" w:cs="仿宋_GB2312"/>
                <w:kern w:val="0"/>
                <w:sz w:val="24"/>
                <w:lang w:eastAsia="en-US"/>
              </w:rPr>
              <w:t>0（含5、10）</w:t>
            </w:r>
          </w:p>
        </w:tc>
        <w:tc>
          <w:tcPr>
            <w:tcW w:w="3402" w:type="dxa"/>
            <w:vAlign w:val="center"/>
          </w:tcPr>
          <w:p>
            <w:pPr>
              <w:autoSpaceDE w:val="0"/>
              <w:autoSpaceDN w:val="0"/>
              <w:rPr>
                <w:rFonts w:hint="eastAsia" w:ascii="仿宋_GB2312" w:hAnsi="仿宋_GB2312" w:eastAsia="仿宋_GB2312" w:cs="仿宋_GB2312"/>
                <w:kern w:val="0"/>
                <w:sz w:val="24"/>
                <w:lang w:eastAsia="en-US"/>
              </w:rPr>
            </w:pPr>
          </w:p>
        </w:tc>
      </w:tr>
    </w:tbl>
    <w:p>
      <w:pPr>
        <w:spacing w:line="360" w:lineRule="auto"/>
        <w:rPr>
          <w:rFonts w:hint="eastAsia" w:ascii="仿宋_GB2312" w:hAnsi="宋体" w:eastAsia="仿宋_GB2312" w:cs="宋体"/>
          <w:kern w:val="0"/>
          <w:sz w:val="24"/>
          <w:szCs w:val="22"/>
        </w:rPr>
      </w:pPr>
      <w:r>
        <w:rPr>
          <w:rFonts w:ascii="仿宋_GB2312" w:hAnsi="宋体" w:eastAsia="仿宋_GB2312" w:cs="宋体"/>
          <w:kern w:val="0"/>
          <w:sz w:val="24"/>
          <w:szCs w:val="22"/>
        </w:rPr>
        <w:t>记录人</w:t>
      </w:r>
      <w:r>
        <w:rPr>
          <w:rFonts w:hint="eastAsia" w:ascii="仿宋_GB2312" w:hAnsi="宋体" w:eastAsia="仿宋_GB2312" w:cs="宋体"/>
          <w:kern w:val="0"/>
          <w:sz w:val="24"/>
          <w:szCs w:val="22"/>
        </w:rPr>
        <w:t>：</w:t>
      </w:r>
    </w:p>
    <w:p>
      <w:pPr>
        <w:spacing w:line="360" w:lineRule="auto"/>
        <w:rPr>
          <w:rFonts w:hint="eastAsia" w:ascii="仿宋_GB2312" w:hAnsi="宋体" w:eastAsia="仿宋_GB2312" w:cs="宋体"/>
          <w:kern w:val="0"/>
          <w:sz w:val="24"/>
          <w:szCs w:val="22"/>
        </w:rPr>
      </w:pPr>
      <w:r>
        <w:rPr>
          <w:rFonts w:hint="eastAsia" w:ascii="仿宋_GB2312" w:hAnsi="宋体" w:eastAsia="仿宋_GB2312" w:cs="宋体"/>
          <w:kern w:val="0"/>
          <w:sz w:val="24"/>
          <w:szCs w:val="22"/>
        </w:rPr>
        <w:t xml:space="preserve">广州净水公司工作人员复核：                           </w:t>
      </w:r>
    </w:p>
    <w:p>
      <w:pPr>
        <w:rPr>
          <w:rFonts w:hint="eastAsia" w:ascii="仿宋_GB2312" w:hAnsi="宋体" w:cs="宋体"/>
          <w:kern w:val="0"/>
          <w:sz w:val="24"/>
        </w:rPr>
        <w:sectPr>
          <w:pgSz w:w="16838" w:h="11906" w:orient="landscape"/>
          <w:pgMar w:top="1800" w:right="1440" w:bottom="1800" w:left="1440" w:header="851" w:footer="992" w:gutter="0"/>
          <w:cols w:space="425" w:num="1"/>
          <w:docGrid w:type="lines" w:linePitch="312" w:charSpace="0"/>
        </w:sectPr>
      </w:pPr>
      <w:r>
        <w:rPr>
          <w:rFonts w:hint="eastAsia" w:ascii="仿宋_GB2312" w:hAnsi="宋体" w:eastAsia="仿宋_GB2312" w:cs="宋体"/>
          <w:kern w:val="0"/>
          <w:sz w:val="24"/>
          <w:szCs w:val="22"/>
        </w:rPr>
        <w:t>试验药剂厂商：</w:t>
      </w:r>
      <w:bookmarkStart w:id="61" w:name="_Hlk64732457"/>
    </w:p>
    <w:p>
      <w:pPr>
        <w:framePr w:hSpace="180" w:wrap="around" w:vAnchor="margin" w:hAnchor="margin" w:y="485"/>
        <w:widowControl/>
        <w:spacing w:line="360" w:lineRule="auto"/>
        <w:rPr>
          <w:rFonts w:hint="eastAsia" w:ascii="等线" w:hAnsi="等线" w:eastAsia="等线" w:cs="Times New Roman"/>
          <w:kern w:val="0"/>
          <w:sz w:val="20"/>
          <w:szCs w:val="20"/>
        </w:rPr>
      </w:pPr>
    </w:p>
    <w:p>
      <w:pPr>
        <w:snapToGrid w:val="0"/>
        <w:jc w:val="center"/>
        <w:rPr>
          <w:rFonts w:hint="eastAsia" w:ascii="方正小标宋简体" w:hAnsi="黑体" w:eastAsia="方正小标宋简体" w:cs="黑体"/>
          <w:sz w:val="44"/>
          <w:szCs w:val="44"/>
        </w:rPr>
      </w:pPr>
      <w:r>
        <w:rPr>
          <w:rFonts w:hint="eastAsia" w:ascii="方正小标宋简体" w:hAnsi="黑体" w:eastAsia="方正小标宋简体" w:cs="黑体"/>
          <w:sz w:val="44"/>
          <w:szCs w:val="44"/>
        </w:rPr>
        <w:t>表</w:t>
      </w:r>
      <w:r>
        <w:rPr>
          <w:rFonts w:ascii="方正小标宋简体" w:hAnsi="黑体" w:eastAsia="方正小标宋简体" w:cs="黑体"/>
          <w:sz w:val="44"/>
          <w:szCs w:val="44"/>
        </w:rPr>
        <w:t>2</w:t>
      </w:r>
      <w:r>
        <w:rPr>
          <w:rFonts w:hint="eastAsia" w:ascii="方正小标宋简体" w:hAnsi="黑体" w:eastAsia="方正小标宋简体" w:cs="黑体"/>
          <w:sz w:val="44"/>
          <w:szCs w:val="44"/>
        </w:rPr>
        <w:t>：</w:t>
      </w:r>
      <w:r>
        <w:rPr>
          <w:rFonts w:ascii="方正小标宋简体" w:hAnsi="黑体" w:eastAsia="方正小标宋简体" w:cs="黑体"/>
          <w:sz w:val="44"/>
          <w:szCs w:val="44"/>
        </w:rPr>
        <w:t>减量比核算表格</w:t>
      </w:r>
    </w:p>
    <w:p>
      <w:pPr>
        <w:spacing w:before="89"/>
        <w:ind w:left="80"/>
        <w:rPr>
          <w:rFonts w:ascii="方正小标宋简体" w:hAnsi="Arial" w:eastAsia="方正小标宋简体" w:cs="Arial"/>
          <w:sz w:val="44"/>
          <w:szCs w:val="44"/>
        </w:rPr>
      </w:pPr>
      <w:r>
        <w:rPr>
          <w:rFonts w:hint="eastAsia" w:ascii="仿宋_GB2312" w:hAnsi="Arial" w:eastAsia="仿宋_GB2312" w:cs="Arial"/>
          <w:sz w:val="32"/>
          <w:szCs w:val="32"/>
        </w:rPr>
        <w:t xml:space="preserve">    </w:t>
      </w:r>
      <w:r>
        <w:rPr>
          <w:rFonts w:ascii="仿宋_GB2312" w:hAnsi="Arial" w:eastAsia="仿宋_GB2312" w:cs="Arial"/>
          <w:sz w:val="32"/>
          <w:szCs w:val="32"/>
        </w:rPr>
        <w:t xml:space="preserve">      </w:t>
      </w:r>
      <w:r>
        <w:rPr>
          <w:rFonts w:hint="eastAsia" w:ascii="仿宋_GB2312" w:hAnsi="Arial" w:eastAsia="仿宋_GB2312" w:cs="Arial"/>
          <w:sz w:val="32"/>
          <w:szCs w:val="32"/>
        </w:rPr>
        <w:t xml:space="preserve">   </w:t>
      </w: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药剂</w:t>
      </w:r>
      <w:r>
        <w:rPr>
          <w:rFonts w:hint="eastAsia" w:ascii="仿宋_GB2312" w:hAnsi="Arial" w:eastAsia="仿宋_GB2312" w:cs="Arial"/>
          <w:spacing w:val="-4"/>
          <w:sz w:val="32"/>
          <w:szCs w:val="32"/>
        </w:rPr>
        <w:t>减量比</w:t>
      </w:r>
      <w:r>
        <w:rPr>
          <w:rFonts w:hint="eastAsia" w:ascii="仿宋_GB2312" w:hAnsi="Arial" w:eastAsia="仿宋_GB2312" w:cs="Arial"/>
          <w:spacing w:val="-8"/>
          <w:sz w:val="32"/>
          <w:szCs w:val="32"/>
        </w:rPr>
        <w:t>考核评估</w:t>
      </w:r>
    </w:p>
    <w:tbl>
      <w:tblPr>
        <w:tblStyle w:val="15"/>
        <w:tblpPr w:leftFromText="180" w:rightFromText="180" w:vertAnchor="page" w:horzAnchor="margin" w:tblpY="4340"/>
        <w:tblW w:w="13598"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51"/>
        <w:gridCol w:w="950"/>
        <w:gridCol w:w="1988"/>
        <w:gridCol w:w="1913"/>
        <w:gridCol w:w="1985"/>
        <w:gridCol w:w="2551"/>
        <w:gridCol w:w="3260"/>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80" w:hRule="atLeast"/>
        </w:trPr>
        <w:tc>
          <w:tcPr>
            <w:tcW w:w="951"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序号</w:t>
            </w:r>
          </w:p>
        </w:tc>
        <w:tc>
          <w:tcPr>
            <w:tcW w:w="950"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时间</w:t>
            </w:r>
          </w:p>
        </w:tc>
        <w:tc>
          <w:tcPr>
            <w:tcW w:w="1988"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进泥密度（t/m</w:t>
            </w:r>
            <w:r>
              <w:rPr>
                <w:rFonts w:hint="eastAsia" w:ascii="仿宋_GB2312" w:hAnsi="等线" w:eastAsia="仿宋_GB2312" w:cs="Times New Roman"/>
                <w:b/>
                <w:bCs/>
                <w:sz w:val="28"/>
                <w:szCs w:val="28"/>
                <w:vertAlign w:val="superscript"/>
              </w:rPr>
              <w:t>3</w:t>
            </w:r>
            <w:r>
              <w:rPr>
                <w:rFonts w:hint="eastAsia" w:ascii="仿宋_GB2312" w:hAnsi="等线" w:eastAsia="仿宋_GB2312" w:cs="Times New Roman"/>
                <w:b/>
                <w:bCs/>
                <w:sz w:val="28"/>
                <w:szCs w:val="28"/>
              </w:rPr>
              <w:t>）</w:t>
            </w:r>
          </w:p>
        </w:tc>
        <w:tc>
          <w:tcPr>
            <w:tcW w:w="1913"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进泥体积（m</w:t>
            </w:r>
            <w:r>
              <w:rPr>
                <w:rFonts w:hint="eastAsia" w:ascii="仿宋_GB2312" w:hAnsi="等线" w:eastAsia="仿宋_GB2312" w:cs="Times New Roman"/>
                <w:b/>
                <w:bCs/>
                <w:sz w:val="28"/>
                <w:szCs w:val="28"/>
                <w:vertAlign w:val="superscript"/>
              </w:rPr>
              <w:t>3</w:t>
            </w:r>
            <w:r>
              <w:rPr>
                <w:rFonts w:hint="eastAsia" w:ascii="仿宋_GB2312" w:hAnsi="等线" w:eastAsia="仿宋_GB2312" w:cs="Times New Roman"/>
                <w:b/>
                <w:bCs/>
                <w:sz w:val="28"/>
                <w:szCs w:val="28"/>
              </w:rPr>
              <w:t>）</w:t>
            </w:r>
          </w:p>
        </w:tc>
        <w:tc>
          <w:tcPr>
            <w:tcW w:w="1985" w:type="dxa"/>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进泥含水率</w:t>
            </w:r>
          </w:p>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w:t>
            </w:r>
          </w:p>
        </w:tc>
        <w:tc>
          <w:tcPr>
            <w:tcW w:w="2551"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干泥过磅重量（t）</w:t>
            </w:r>
          </w:p>
        </w:tc>
        <w:tc>
          <w:tcPr>
            <w:tcW w:w="3260" w:type="dxa"/>
            <w:vAlign w:val="center"/>
          </w:tcPr>
          <w:p>
            <w:pPr>
              <w:widowControl/>
              <w:spacing w:line="360" w:lineRule="auto"/>
              <w:ind w:firstLine="281"/>
              <w:rPr>
                <w:rFonts w:hint="eastAsia" w:ascii="仿宋_GB2312" w:hAnsi="等线" w:eastAsia="仿宋_GB2312" w:cs="Times New Roman"/>
                <w:b/>
                <w:bCs/>
                <w:sz w:val="28"/>
                <w:szCs w:val="28"/>
              </w:rPr>
            </w:pPr>
            <w:r>
              <w:rPr>
                <w:rFonts w:hint="eastAsia" w:ascii="仿宋_GB2312" w:hAnsi="等线" w:eastAsia="仿宋_GB2312" w:cs="Times New Roman"/>
                <w:b/>
                <w:bCs/>
                <w:sz w:val="28"/>
                <w:szCs w:val="28"/>
              </w:rPr>
              <w:t>污泥重量减量比（%）</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6"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1</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restart"/>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2</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3</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4</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87"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hint="eastAsia" w:ascii="仿宋_GB2312" w:hAnsi="等线" w:eastAsia="仿宋_GB2312" w:cs="Times New Roman"/>
                <w:sz w:val="28"/>
                <w:szCs w:val="28"/>
              </w:rPr>
              <w:t>5</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380" w:hRule="atLeast"/>
        </w:trPr>
        <w:tc>
          <w:tcPr>
            <w:tcW w:w="951" w:type="dxa"/>
            <w:vAlign w:val="center"/>
          </w:tcPr>
          <w:p>
            <w:pPr>
              <w:widowControl/>
              <w:spacing w:line="360" w:lineRule="auto"/>
              <w:ind w:firstLine="280"/>
              <w:rPr>
                <w:rFonts w:hint="eastAsia" w:ascii="仿宋_GB2312" w:hAnsi="等线" w:eastAsia="仿宋_GB2312" w:cs="Times New Roman"/>
                <w:sz w:val="28"/>
                <w:szCs w:val="28"/>
              </w:rPr>
            </w:pPr>
            <w:r>
              <w:rPr>
                <w:rFonts w:ascii="仿宋_GB2312" w:hAnsi="等线" w:eastAsia="仿宋_GB2312" w:cs="Times New Roman"/>
                <w:sz w:val="28"/>
                <w:szCs w:val="28"/>
              </w:rPr>
              <w:t>6</w:t>
            </w:r>
          </w:p>
        </w:tc>
        <w:tc>
          <w:tcPr>
            <w:tcW w:w="950" w:type="dxa"/>
            <w:vAlign w:val="center"/>
          </w:tcPr>
          <w:p>
            <w:pPr>
              <w:widowControl/>
              <w:spacing w:line="360" w:lineRule="auto"/>
              <w:ind w:firstLine="280"/>
              <w:rPr>
                <w:rFonts w:hint="eastAsia" w:ascii="仿宋_GB2312" w:hAnsi="等线" w:eastAsia="仿宋_GB2312" w:cs="Times New Roman"/>
                <w:sz w:val="28"/>
                <w:szCs w:val="28"/>
              </w:rPr>
            </w:pPr>
          </w:p>
        </w:tc>
        <w:tc>
          <w:tcPr>
            <w:tcW w:w="1988" w:type="dxa"/>
            <w:vAlign w:val="center"/>
          </w:tcPr>
          <w:p>
            <w:pPr>
              <w:widowControl/>
              <w:spacing w:line="360" w:lineRule="auto"/>
              <w:ind w:firstLine="280"/>
              <w:rPr>
                <w:rFonts w:hint="eastAsia" w:ascii="仿宋_GB2312" w:hAnsi="等线" w:eastAsia="仿宋_GB2312" w:cs="Times New Roman"/>
                <w:sz w:val="28"/>
                <w:szCs w:val="28"/>
              </w:rPr>
            </w:pPr>
          </w:p>
        </w:tc>
        <w:tc>
          <w:tcPr>
            <w:tcW w:w="1913" w:type="dxa"/>
            <w:vAlign w:val="center"/>
          </w:tcPr>
          <w:p>
            <w:pPr>
              <w:widowControl/>
              <w:spacing w:line="360" w:lineRule="auto"/>
              <w:ind w:firstLine="280"/>
              <w:rPr>
                <w:rFonts w:hint="eastAsia" w:ascii="仿宋_GB2312" w:hAnsi="等线" w:eastAsia="仿宋_GB2312" w:cs="Times New Roman"/>
                <w:sz w:val="28"/>
                <w:szCs w:val="28"/>
              </w:rPr>
            </w:pPr>
          </w:p>
        </w:tc>
        <w:tc>
          <w:tcPr>
            <w:tcW w:w="1985" w:type="dxa"/>
          </w:tcPr>
          <w:p>
            <w:pPr>
              <w:widowControl/>
              <w:spacing w:line="360" w:lineRule="auto"/>
              <w:ind w:firstLine="280"/>
              <w:rPr>
                <w:rFonts w:hint="eastAsia" w:ascii="仿宋_GB2312" w:hAnsi="等线" w:eastAsia="仿宋_GB2312" w:cs="Times New Roman"/>
                <w:sz w:val="28"/>
                <w:szCs w:val="28"/>
              </w:rPr>
            </w:pPr>
          </w:p>
        </w:tc>
        <w:tc>
          <w:tcPr>
            <w:tcW w:w="2551" w:type="dxa"/>
            <w:vAlign w:val="center"/>
          </w:tcPr>
          <w:p>
            <w:pPr>
              <w:widowControl/>
              <w:spacing w:line="360" w:lineRule="auto"/>
              <w:ind w:firstLine="280"/>
              <w:rPr>
                <w:rFonts w:hint="eastAsia" w:ascii="仿宋_GB2312" w:hAnsi="等线" w:eastAsia="仿宋_GB2312" w:cs="Times New Roman"/>
                <w:sz w:val="28"/>
                <w:szCs w:val="28"/>
              </w:rPr>
            </w:pPr>
          </w:p>
        </w:tc>
        <w:tc>
          <w:tcPr>
            <w:tcW w:w="3260" w:type="dxa"/>
            <w:vMerge w:val="continue"/>
            <w:vAlign w:val="center"/>
          </w:tcPr>
          <w:p>
            <w:pPr>
              <w:widowControl/>
              <w:spacing w:line="360" w:lineRule="auto"/>
              <w:ind w:firstLine="280"/>
              <w:rPr>
                <w:rFonts w:hint="eastAsia" w:ascii="仿宋_GB2312" w:hAnsi="等线" w:eastAsia="仿宋_GB2312" w:cs="Times New Roman"/>
                <w:sz w:val="28"/>
                <w:szCs w:val="28"/>
              </w:rPr>
            </w:pPr>
          </w:p>
        </w:tc>
      </w:tr>
    </w:tbl>
    <w:p>
      <w:pPr>
        <w:spacing w:line="360" w:lineRule="auto"/>
        <w:rPr>
          <w:rFonts w:hint="eastAsia" w:ascii="仿宋_GB2312" w:hAnsi="宋体" w:eastAsia="仿宋_GB2312" w:cs="宋体"/>
          <w:spacing w:val="-4"/>
          <w:kern w:val="0"/>
          <w:sz w:val="32"/>
          <w:szCs w:val="32"/>
        </w:rPr>
      </w:pPr>
      <w:r>
        <w:rPr>
          <w:rFonts w:hint="eastAsia" w:ascii="仿宋_GB2312" w:hAnsi="宋体" w:eastAsia="仿宋_GB2312" w:cs="宋体"/>
          <w:spacing w:val="-4"/>
          <w:kern w:val="0"/>
          <w:sz w:val="32"/>
          <w:szCs w:val="32"/>
        </w:rPr>
        <w:t xml:space="preserve">广州净水公司工作人员： </w:t>
      </w:r>
      <w:r>
        <w:rPr>
          <w:rFonts w:ascii="仿宋_GB2312" w:hAnsi="宋体" w:eastAsia="仿宋_GB2312" w:cs="宋体"/>
          <w:spacing w:val="-4"/>
          <w:kern w:val="0"/>
          <w:sz w:val="32"/>
          <w:szCs w:val="32"/>
        </w:rPr>
        <w:t xml:space="preserve">        </w:t>
      </w:r>
      <w:r>
        <w:rPr>
          <w:rFonts w:hint="eastAsia" w:ascii="仿宋_GB2312" w:hAnsi="宋体" w:eastAsia="仿宋_GB2312" w:cs="宋体"/>
          <w:spacing w:val="-4"/>
          <w:kern w:val="0"/>
          <w:sz w:val="32"/>
          <w:szCs w:val="32"/>
        </w:rPr>
        <w:t xml:space="preserve"> </w:t>
      </w:r>
      <w:r>
        <w:rPr>
          <w:rFonts w:ascii="仿宋_GB2312" w:hAnsi="宋体" w:eastAsia="仿宋_GB2312" w:cs="宋体"/>
          <w:spacing w:val="-4"/>
          <w:kern w:val="0"/>
          <w:sz w:val="32"/>
          <w:szCs w:val="32"/>
        </w:rPr>
        <w:t xml:space="preserve">         </w:t>
      </w:r>
    </w:p>
    <w:p>
      <w:pPr>
        <w:spacing w:line="360" w:lineRule="auto"/>
        <w:rPr>
          <w:rFonts w:hint="eastAsia" w:ascii="宋体" w:hAnsi="宋体" w:eastAsia="仿宋_GB2312" w:cs="宋体"/>
          <w:kern w:val="0"/>
          <w:sz w:val="24"/>
          <w:szCs w:val="22"/>
        </w:rPr>
      </w:pPr>
      <w:r>
        <w:rPr>
          <w:rFonts w:hint="eastAsia" w:ascii="仿宋_GB2312" w:hAnsi="宋体" w:eastAsia="仿宋_GB2312" w:cs="宋体"/>
          <w:spacing w:val="-4"/>
          <w:kern w:val="0"/>
          <w:sz w:val="32"/>
          <w:szCs w:val="32"/>
        </w:rPr>
        <w:t xml:space="preserve">试验药剂厂商： </w:t>
      </w:r>
      <w:r>
        <w:rPr>
          <w:rFonts w:ascii="仿宋_GB2312" w:hAnsi="宋体" w:eastAsia="仿宋_GB2312" w:cs="宋体"/>
          <w:spacing w:val="-4"/>
          <w:kern w:val="0"/>
          <w:sz w:val="32"/>
          <w:szCs w:val="32"/>
        </w:rPr>
        <w:t xml:space="preserve">  </w:t>
      </w:r>
      <w:r>
        <w:rPr>
          <w:rFonts w:ascii="宋体" w:hAnsi="宋体" w:eastAsia="仿宋_GB2312" w:cs="宋体"/>
          <w:kern w:val="0"/>
          <w:sz w:val="24"/>
          <w:szCs w:val="22"/>
        </w:rPr>
        <w:t xml:space="preserve">       </w:t>
      </w:r>
      <w:r>
        <w:rPr>
          <w:rFonts w:hint="eastAsia" w:ascii="宋体" w:hAnsi="宋体" w:eastAsia="仿宋_GB2312" w:cs="宋体"/>
          <w:kern w:val="0"/>
          <w:sz w:val="24"/>
          <w:szCs w:val="22"/>
        </w:rPr>
        <w:t xml:space="preserve"> </w:t>
      </w:r>
      <w:r>
        <w:rPr>
          <w:rFonts w:ascii="宋体" w:hAnsi="宋体" w:eastAsia="仿宋_GB2312" w:cs="宋体"/>
          <w:kern w:val="0"/>
          <w:sz w:val="24"/>
          <w:szCs w:val="22"/>
        </w:rPr>
        <w:t xml:space="preserve">         </w:t>
      </w:r>
      <w:r>
        <w:rPr>
          <w:rFonts w:hint="eastAsia" w:ascii="宋体" w:hAnsi="宋体" w:eastAsia="仿宋_GB2312" w:cs="宋体"/>
          <w:kern w:val="0"/>
          <w:sz w:val="24"/>
          <w:szCs w:val="22"/>
        </w:rPr>
        <w:t xml:space="preserve"> </w:t>
      </w:r>
      <w:r>
        <w:rPr>
          <w:rFonts w:ascii="宋体" w:hAnsi="宋体" w:eastAsia="仿宋_GB2312" w:cs="宋体"/>
          <w:kern w:val="0"/>
          <w:sz w:val="24"/>
          <w:szCs w:val="22"/>
        </w:rPr>
        <w:t xml:space="preserve">         </w:t>
      </w:r>
    </w:p>
    <w:p>
      <w:pPr>
        <w:snapToGrid w:val="0"/>
        <w:jc w:val="center"/>
        <w:rPr>
          <w:rFonts w:hint="eastAsia" w:ascii="方正小标宋简体" w:hAnsi="黑体" w:eastAsia="方正小标宋简体" w:cs="黑体"/>
          <w:sz w:val="44"/>
          <w:szCs w:val="44"/>
        </w:rPr>
      </w:pPr>
      <w:r>
        <w:rPr>
          <w:rFonts w:hint="eastAsia" w:ascii="方正小标宋简体" w:hAnsi="黑体" w:eastAsia="方正小标宋简体" w:cs="黑体"/>
          <w:sz w:val="44"/>
          <w:szCs w:val="44"/>
        </w:rPr>
        <w:t xml:space="preserve">表 </w:t>
      </w:r>
      <w:r>
        <w:rPr>
          <w:rFonts w:ascii="方正小标宋简体" w:hAnsi="黑体" w:eastAsia="方正小标宋简体" w:cs="黑体"/>
          <w:sz w:val="44"/>
          <w:szCs w:val="44"/>
        </w:rPr>
        <w:t>3</w:t>
      </w:r>
      <w:r>
        <w:rPr>
          <w:rFonts w:hint="eastAsia" w:ascii="方正小标宋简体" w:hAnsi="黑体" w:eastAsia="方正小标宋简体" w:cs="黑体"/>
          <w:sz w:val="44"/>
          <w:szCs w:val="44"/>
        </w:rPr>
        <w:t>：药剂投加量、药剂含固记录</w:t>
      </w:r>
      <w:r>
        <w:rPr>
          <w:rFonts w:ascii="方正小标宋简体" w:hAnsi="黑体" w:eastAsia="方正小标宋简体" w:cs="黑体"/>
          <w:sz w:val="44"/>
          <w:szCs w:val="44"/>
        </w:rPr>
        <w:t>表格</w:t>
      </w:r>
    </w:p>
    <w:p>
      <w:pPr>
        <w:tabs>
          <w:tab w:val="left" w:pos="3810"/>
        </w:tabs>
        <w:spacing w:before="217" w:beforeLines="50" w:after="48"/>
        <w:rPr>
          <w:rFonts w:ascii="仿宋_GB2312" w:hAnsi="Arial" w:eastAsia="仿宋_GB2312" w:cs="Arial"/>
          <w:spacing w:val="-8"/>
          <w:sz w:val="32"/>
          <w:szCs w:val="32"/>
        </w:rPr>
      </w:pP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 xml:space="preserve"> </w:t>
      </w:r>
      <w:r>
        <w:rPr>
          <w:rFonts w:ascii="仿宋_GB2312" w:hAnsi="Arial" w:eastAsia="仿宋_GB2312" w:cs="Arial"/>
          <w:sz w:val="32"/>
          <w:szCs w:val="32"/>
          <w:u w:val="single"/>
        </w:rPr>
        <w:t xml:space="preserve">   </w:t>
      </w:r>
      <w:r>
        <w:rPr>
          <w:rFonts w:hint="eastAsia" w:ascii="仿宋_GB2312" w:hAnsi="Arial" w:eastAsia="仿宋_GB2312" w:cs="Arial"/>
          <w:sz w:val="32"/>
          <w:szCs w:val="32"/>
          <w:u w:val="single"/>
        </w:rPr>
        <w:t>药剂</w:t>
      </w:r>
      <w:r>
        <w:rPr>
          <w:rFonts w:hint="eastAsia" w:ascii="仿宋_GB2312" w:hAnsi="Arial" w:eastAsia="仿宋_GB2312" w:cs="Arial"/>
          <w:spacing w:val="-4"/>
          <w:sz w:val="32"/>
          <w:szCs w:val="32"/>
        </w:rPr>
        <w:t>试验记录</w:t>
      </w:r>
    </w:p>
    <w:p>
      <w:pPr>
        <w:tabs>
          <w:tab w:val="left" w:pos="3810"/>
        </w:tabs>
        <w:spacing w:before="217" w:beforeLines="50" w:after="48"/>
        <w:rPr>
          <w:rFonts w:ascii="仿宋_GB2312" w:hAnsi="Arial" w:eastAsia="仿宋_GB2312" w:cs="Arial"/>
          <w:spacing w:val="-8"/>
          <w:sz w:val="24"/>
        </w:rPr>
      </w:pPr>
      <w:r>
        <w:rPr>
          <w:rFonts w:hint="eastAsia" w:ascii="仿宋_GB2312" w:hAnsi="Arial" w:eastAsia="仿宋_GB2312" w:cs="Arial"/>
          <w:spacing w:val="-8"/>
          <w:sz w:val="24"/>
        </w:rPr>
        <w:t xml:space="preserve">试验日期： </w:t>
      </w:r>
    </w:p>
    <w:tbl>
      <w:tblPr>
        <w:tblStyle w:val="14"/>
        <w:tblW w:w="13606" w:type="dxa"/>
        <w:tblInd w:w="0" w:type="dxa"/>
        <w:tblLayout w:type="fixed"/>
        <w:tblCellMar>
          <w:top w:w="0" w:type="dxa"/>
          <w:left w:w="108" w:type="dxa"/>
          <w:bottom w:w="0" w:type="dxa"/>
          <w:right w:w="108" w:type="dxa"/>
        </w:tblCellMar>
      </w:tblPr>
      <w:tblGrid>
        <w:gridCol w:w="988"/>
        <w:gridCol w:w="1701"/>
        <w:gridCol w:w="1701"/>
        <w:gridCol w:w="1417"/>
        <w:gridCol w:w="1418"/>
        <w:gridCol w:w="1559"/>
        <w:gridCol w:w="1559"/>
        <w:gridCol w:w="1559"/>
        <w:gridCol w:w="1704"/>
      </w:tblGrid>
      <w:tr>
        <w:tblPrEx>
          <w:tblCellMar>
            <w:top w:w="0" w:type="dxa"/>
            <w:left w:w="108" w:type="dxa"/>
            <w:bottom w:w="0" w:type="dxa"/>
            <w:right w:w="108" w:type="dxa"/>
          </w:tblCellMar>
        </w:tblPrEx>
        <w:trPr>
          <w:trHeight w:val="510" w:hRule="atLeast"/>
        </w:trPr>
        <w:tc>
          <w:tcPr>
            <w:tcW w:w="98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时间</w:t>
            </w:r>
          </w:p>
        </w:tc>
        <w:tc>
          <w:tcPr>
            <w:tcW w:w="1701"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进泥前流量计读数（m</w:t>
            </w:r>
            <w:r>
              <w:rPr>
                <w:rFonts w:hint="eastAsia" w:ascii="仿宋_GB2312" w:hAnsi="宋体" w:eastAsia="仿宋_GB2312" w:cs="宋体"/>
                <w:b/>
                <w:bCs/>
                <w:kern w:val="0"/>
                <w:sz w:val="24"/>
                <w:szCs w:val="22"/>
                <w:vertAlign w:val="superscript"/>
              </w:rPr>
              <w:t>3</w:t>
            </w:r>
            <w:r>
              <w:rPr>
                <w:rFonts w:hint="eastAsia" w:ascii="仿宋_GB2312" w:hAnsi="宋体" w:eastAsia="仿宋_GB2312" w:cs="宋体"/>
                <w:b/>
                <w:bCs/>
                <w:kern w:val="0"/>
                <w:sz w:val="24"/>
                <w:szCs w:val="22"/>
              </w:rPr>
              <w:t>）</w:t>
            </w:r>
          </w:p>
        </w:tc>
        <w:tc>
          <w:tcPr>
            <w:tcW w:w="1701"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进泥完毕流量计读数（m</w:t>
            </w:r>
            <w:r>
              <w:rPr>
                <w:rFonts w:hint="eastAsia" w:ascii="仿宋_GB2312" w:hAnsi="宋体" w:eastAsia="仿宋_GB2312" w:cs="宋体"/>
                <w:b/>
                <w:bCs/>
                <w:kern w:val="0"/>
                <w:sz w:val="24"/>
                <w:szCs w:val="22"/>
                <w:vertAlign w:val="superscript"/>
              </w:rPr>
              <w:t>3</w:t>
            </w:r>
            <w:r>
              <w:rPr>
                <w:rFonts w:hint="eastAsia" w:ascii="仿宋_GB2312" w:hAnsi="宋体" w:eastAsia="仿宋_GB2312" w:cs="宋体"/>
                <w:b/>
                <w:bCs/>
                <w:kern w:val="0"/>
                <w:sz w:val="24"/>
                <w:szCs w:val="22"/>
              </w:rPr>
              <w:t>）</w:t>
            </w:r>
          </w:p>
        </w:tc>
        <w:tc>
          <w:tcPr>
            <w:tcW w:w="1417"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干泥过磅重量（t）</w:t>
            </w:r>
          </w:p>
        </w:tc>
        <w:tc>
          <w:tcPr>
            <w:tcW w:w="1418"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药剂添加量记录</w:t>
            </w: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药剂含固率</w:t>
            </w: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污泥含固率</w:t>
            </w: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记录人</w:t>
            </w:r>
          </w:p>
        </w:tc>
        <w:tc>
          <w:tcPr>
            <w:tcW w:w="1704"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rPr>
                <w:rFonts w:hint="eastAsia" w:ascii="仿宋_GB2312" w:hAnsi="宋体" w:eastAsia="仿宋_GB2312" w:cs="宋体"/>
                <w:b/>
                <w:bCs/>
                <w:kern w:val="0"/>
                <w:sz w:val="24"/>
                <w:szCs w:val="22"/>
              </w:rPr>
            </w:pPr>
            <w:r>
              <w:rPr>
                <w:rFonts w:hint="eastAsia" w:ascii="仿宋_GB2312" w:hAnsi="宋体" w:eastAsia="仿宋_GB2312" w:cs="宋体"/>
                <w:b/>
                <w:bCs/>
                <w:kern w:val="0"/>
                <w:sz w:val="24"/>
                <w:szCs w:val="22"/>
              </w:rPr>
              <w:t>试验药剂厂商确认</w:t>
            </w: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701"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701"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417"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418" w:type="dxa"/>
            <w:tcBorders>
              <w:top w:val="nil"/>
              <w:left w:val="nil"/>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Times New Roman"/>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Times New Roman"/>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Times New Roman"/>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nil"/>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eastAsia" w:ascii="仿宋_GB2312" w:hAnsi="等线" w:eastAsia="仿宋_GB2312" w:cs="宋体"/>
                <w:kern w:val="0"/>
                <w:sz w:val="24"/>
                <w:szCs w:val="22"/>
              </w:rPr>
            </w:pPr>
          </w:p>
        </w:tc>
        <w:tc>
          <w:tcPr>
            <w:tcW w:w="15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r>
        <w:tblPrEx>
          <w:tblCellMar>
            <w:top w:w="0" w:type="dxa"/>
            <w:left w:w="108" w:type="dxa"/>
            <w:bottom w:w="0" w:type="dxa"/>
            <w:right w:w="108" w:type="dxa"/>
          </w:tblCellMar>
        </w:tblPrEx>
        <w:trPr>
          <w:trHeight w:val="907" w:hRule="atLeast"/>
        </w:trPr>
        <w:tc>
          <w:tcPr>
            <w:tcW w:w="988" w:type="dxa"/>
            <w:tcBorders>
              <w:top w:val="nil"/>
              <w:left w:val="single" w:color="auto" w:sz="4" w:space="0"/>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1"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7"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418"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nil"/>
            </w:tcBorders>
          </w:tcPr>
          <w:p>
            <w:pPr>
              <w:widowControl/>
              <w:spacing w:line="360" w:lineRule="auto"/>
              <w:rPr>
                <w:rFonts w:hint="eastAsia" w:ascii="仿宋_GB2312" w:hAnsi="等线" w:eastAsia="仿宋_GB2312" w:cs="宋体"/>
                <w:kern w:val="0"/>
                <w:sz w:val="24"/>
                <w:szCs w:val="22"/>
              </w:rPr>
            </w:pPr>
          </w:p>
        </w:tc>
        <w:tc>
          <w:tcPr>
            <w:tcW w:w="1559"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c>
          <w:tcPr>
            <w:tcW w:w="1704" w:type="dxa"/>
            <w:tcBorders>
              <w:top w:val="nil"/>
              <w:left w:val="nil"/>
              <w:bottom w:val="single" w:color="auto" w:sz="4" w:space="0"/>
              <w:right w:val="single" w:color="auto" w:sz="4" w:space="0"/>
            </w:tcBorders>
            <w:shd w:val="clear" w:color="auto" w:fill="auto"/>
            <w:vAlign w:val="bottom"/>
          </w:tcPr>
          <w:p>
            <w:pPr>
              <w:widowControl/>
              <w:spacing w:line="360" w:lineRule="auto"/>
              <w:rPr>
                <w:rFonts w:hint="eastAsia" w:ascii="仿宋_GB2312" w:hAnsi="等线" w:eastAsia="仿宋_GB2312" w:cs="宋体"/>
                <w:kern w:val="0"/>
                <w:sz w:val="24"/>
                <w:szCs w:val="22"/>
              </w:rPr>
            </w:pPr>
          </w:p>
        </w:tc>
      </w:tr>
    </w:tbl>
    <w:p>
      <w:pPr>
        <w:snapToGrid w:val="0"/>
        <w:rPr>
          <w:rFonts w:hint="eastAsia" w:ascii="方正小标宋简体" w:hAnsi="黑体" w:eastAsia="方正小标宋简体" w:cs="黑体"/>
          <w:sz w:val="44"/>
          <w:szCs w:val="44"/>
        </w:rPr>
      </w:pPr>
    </w:p>
    <w:p>
      <w:pPr>
        <w:snapToGrid w:val="0"/>
        <w:jc w:val="center"/>
        <w:rPr>
          <w:rFonts w:hint="eastAsia" w:ascii="方正小标宋简体" w:hAnsi="黑体" w:eastAsia="方正小标宋简体" w:cs="黑体"/>
          <w:sz w:val="44"/>
          <w:szCs w:val="44"/>
        </w:rPr>
      </w:pPr>
      <w:r>
        <w:rPr>
          <w:rFonts w:hint="eastAsia" w:ascii="方正小标宋简体" w:hAnsi="黑体" w:eastAsia="方正小标宋简体" w:cs="黑体"/>
          <w:sz w:val="44"/>
          <w:szCs w:val="44"/>
        </w:rPr>
        <w:t xml:space="preserve">表 </w:t>
      </w:r>
      <w:r>
        <w:rPr>
          <w:rFonts w:ascii="方正小标宋简体" w:hAnsi="黑体" w:eastAsia="方正小标宋简体" w:cs="黑体"/>
          <w:sz w:val="44"/>
          <w:szCs w:val="44"/>
        </w:rPr>
        <w:t>4</w:t>
      </w:r>
      <w:r>
        <w:rPr>
          <w:rFonts w:hint="eastAsia" w:ascii="方正小标宋简体" w:hAnsi="黑体" w:eastAsia="方正小标宋简体" w:cs="黑体"/>
          <w:sz w:val="44"/>
          <w:szCs w:val="44"/>
        </w:rPr>
        <w:t>：</w:t>
      </w:r>
      <w:bookmarkStart w:id="62" w:name="_Hlk65156868"/>
      <w:r>
        <w:rPr>
          <w:rFonts w:hint="eastAsia" w:ascii="方正小标宋简体" w:hAnsi="黑体" w:eastAsia="方正小标宋简体" w:cs="黑体"/>
          <w:sz w:val="44"/>
          <w:szCs w:val="44"/>
        </w:rPr>
        <w:t>生产性试验正式考核期考核评估表</w:t>
      </w:r>
    </w:p>
    <w:bookmarkEnd w:id="62"/>
    <w:p>
      <w:pPr>
        <w:tabs>
          <w:tab w:val="left" w:pos="3181"/>
          <w:tab w:val="left" w:pos="3704"/>
          <w:tab w:val="left" w:pos="4335"/>
          <w:tab w:val="left" w:pos="5070"/>
          <w:tab w:val="left" w:pos="5595"/>
          <w:tab w:val="left" w:pos="6121"/>
        </w:tabs>
        <w:spacing w:before="91"/>
        <w:rPr>
          <w:rFonts w:ascii="仿宋_GB2312" w:hAnsi="Arial" w:eastAsia="仿宋_GB2312" w:cs="Arial"/>
          <w:spacing w:val="-8"/>
          <w:sz w:val="28"/>
          <w:szCs w:val="32"/>
        </w:rPr>
      </w:pPr>
      <w:r>
        <w:rPr>
          <w:rFonts w:hint="eastAsia" w:ascii="仿宋_GB2312" w:hAnsi="Arial" w:eastAsia="仿宋_GB2312" w:cs="Arial"/>
          <w:sz w:val="28"/>
          <w:szCs w:val="32"/>
          <w:u w:val="single"/>
        </w:rPr>
        <w:t xml:space="preserve">     年  月  日至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 xml:space="preserve">  年  月  日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 xml:space="preserve">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 xml:space="preserve"> </w:t>
      </w:r>
      <w:r>
        <w:rPr>
          <w:rFonts w:ascii="仿宋_GB2312" w:hAnsi="Arial" w:eastAsia="仿宋_GB2312" w:cs="Arial"/>
          <w:sz w:val="28"/>
          <w:szCs w:val="32"/>
          <w:u w:val="single"/>
        </w:rPr>
        <w:t xml:space="preserve">                      </w:t>
      </w:r>
      <w:r>
        <w:rPr>
          <w:rFonts w:hint="eastAsia" w:ascii="仿宋_GB2312" w:hAnsi="Arial" w:eastAsia="仿宋_GB2312" w:cs="Arial"/>
          <w:sz w:val="28"/>
          <w:szCs w:val="32"/>
          <w:u w:val="single"/>
        </w:rPr>
        <w:t>生产性试验</w:t>
      </w:r>
      <w:r>
        <w:rPr>
          <w:rFonts w:hint="eastAsia" w:ascii="仿宋_GB2312" w:hAnsi="Arial" w:eastAsia="仿宋_GB2312" w:cs="Arial"/>
          <w:spacing w:val="-4"/>
          <w:sz w:val="28"/>
          <w:szCs w:val="32"/>
        </w:rPr>
        <w:t>正式考核期</w:t>
      </w:r>
      <w:r>
        <w:rPr>
          <w:rFonts w:hint="eastAsia" w:ascii="仿宋_GB2312" w:hAnsi="Arial" w:eastAsia="仿宋_GB2312" w:cs="Arial"/>
          <w:spacing w:val="-8"/>
          <w:sz w:val="28"/>
          <w:szCs w:val="32"/>
        </w:rPr>
        <w:t>考核评估</w:t>
      </w:r>
    </w:p>
    <w:tbl>
      <w:tblPr>
        <w:tblStyle w:val="14"/>
        <w:tblW w:w="141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985"/>
        <w:gridCol w:w="1559"/>
        <w:gridCol w:w="1843"/>
        <w:gridCol w:w="8093"/>
        <w:gridCol w:w="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56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序号</w:t>
            </w:r>
          </w:p>
        </w:tc>
        <w:tc>
          <w:tcPr>
            <w:tcW w:w="1985"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项目</w:t>
            </w:r>
          </w:p>
        </w:tc>
        <w:tc>
          <w:tcPr>
            <w:tcW w:w="1559"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单位</w:t>
            </w:r>
          </w:p>
        </w:tc>
        <w:tc>
          <w:tcPr>
            <w:tcW w:w="1843"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考核结果/数值</w:t>
            </w:r>
          </w:p>
        </w:tc>
        <w:tc>
          <w:tcPr>
            <w:tcW w:w="8093"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一</w:t>
            </w:r>
          </w:p>
        </w:tc>
        <w:tc>
          <w:tcPr>
            <w:tcW w:w="13487" w:type="dxa"/>
            <w:gridSpan w:val="5"/>
            <w:shd w:val="clear" w:color="auto" w:fill="auto"/>
            <w:vAlign w:val="center"/>
          </w:tcPr>
          <w:p>
            <w:pPr>
              <w:widowControl/>
              <w:spacing w:line="360" w:lineRule="auto"/>
              <w:rPr>
                <w:rFonts w:hint="eastAsia" w:ascii="仿宋_GB2312" w:hAnsi="等线" w:eastAsia="仿宋_GB2312" w:cs="Times New Roman"/>
                <w:b/>
                <w:bCs/>
                <w:sz w:val="24"/>
                <w:szCs w:val="21"/>
              </w:rPr>
            </w:pPr>
            <w:r>
              <w:rPr>
                <w:rFonts w:hint="eastAsia" w:ascii="仿宋_GB2312" w:hAnsi="等线" w:eastAsia="仿宋_GB2312" w:cs="Times New Roman"/>
                <w:b/>
                <w:bCs/>
                <w:sz w:val="24"/>
                <w:szCs w:val="21"/>
              </w:rPr>
              <w:t>委托检测的指标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1.1</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正式考核期产量</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绝干基日产量不少于7.5吨/天，评定为“合格”。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1.2</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含水率</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每批次进、出泥一测。检测方法按照CJ/T 221-2005含水率分析方法。所有批次的出泥含水率在30%～40%之间。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1.3</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pH</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每批次出泥一测。检测方法按照CJ/T 221-2005 pH值分析方法。所有批次的出泥pH值在5-10（含5、10）之间。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1.4</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重金属</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每日进、出泥一测。监测分析方法按照CJ/T 221-2005重金属监测分析方法。要求所有处理后的污泥重金属含量日均值均低于处理前含量。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1.5</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污泥（总量）</w:t>
            </w:r>
          </w:p>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减量比</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净水公司人员现场记录该班次污泥的进泥泥量(W1)和出泥泥量（M2）计算污泥（重量）减量比，持续5天。要求5日内经处理后污泥（重量）减量比均≥60%。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1.6</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氯离子</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1"/>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每批次出泥一测。监测分析方法依据《土壤氯离子含量的测定》电位滴定法NY/T 1378-2007。要求所有处理后的污泥氯离子浓度≤0.55×10</w:t>
            </w:r>
            <w:r>
              <w:rPr>
                <w:rFonts w:hint="eastAsia" w:ascii="仿宋_GB2312" w:hAnsi="等线" w:eastAsia="仿宋_GB2312" w:cs="Times New Roman"/>
                <w:sz w:val="24"/>
                <w:szCs w:val="21"/>
                <w:vertAlign w:val="superscript"/>
              </w:rPr>
              <w:t>4</w:t>
            </w:r>
            <w:r>
              <w:rPr>
                <w:rFonts w:hint="eastAsia" w:ascii="仿宋_GB2312" w:hAnsi="等线" w:eastAsia="仿宋_GB2312" w:cs="Times New Roman"/>
                <w:sz w:val="24"/>
                <w:szCs w:val="21"/>
              </w:rPr>
              <w:t>mg/kg。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dxa"/>
          <w:trHeight w:val="907" w:hRule="atLeast"/>
          <w:jc w:val="center"/>
        </w:trPr>
        <w:tc>
          <w:tcPr>
            <w:tcW w:w="704"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1.7</w:t>
            </w:r>
          </w:p>
        </w:tc>
        <w:tc>
          <w:tcPr>
            <w:tcW w:w="1985"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颗粒度</w:t>
            </w:r>
          </w:p>
        </w:tc>
        <w:tc>
          <w:tcPr>
            <w:tcW w:w="1559" w:type="dxa"/>
            <w:shd w:val="clear" w:color="auto" w:fill="auto"/>
            <w:vAlign w:val="center"/>
          </w:tcPr>
          <w:p>
            <w:pPr>
              <w:widowControl/>
              <w:spacing w:line="360" w:lineRule="auto"/>
              <w:rPr>
                <w:rFonts w:hint="eastAsia" w:ascii="仿宋_GB2312" w:hAnsi="等线" w:eastAsia="仿宋_GB2312" w:cs="Times New Roman"/>
                <w:sz w:val="24"/>
                <w:szCs w:val="21"/>
              </w:rPr>
            </w:pPr>
            <w:r>
              <w:rPr>
                <w:rFonts w:hint="eastAsia" w:ascii="仿宋_GB2312" w:hAnsi="等线" w:eastAsia="仿宋_GB2312" w:cs="Times New Roman"/>
                <w:sz w:val="24"/>
                <w:szCs w:val="21"/>
              </w:rPr>
              <w:t>合格/不合格</w:t>
            </w:r>
          </w:p>
        </w:tc>
        <w:tc>
          <w:tcPr>
            <w:tcW w:w="1843" w:type="dxa"/>
            <w:shd w:val="clear" w:color="auto" w:fill="auto"/>
            <w:vAlign w:val="center"/>
          </w:tcPr>
          <w:p>
            <w:pPr>
              <w:widowControl/>
              <w:spacing w:line="360" w:lineRule="auto"/>
              <w:rPr>
                <w:rFonts w:hint="eastAsia" w:ascii="仿宋_GB2312" w:hAnsi="等线" w:eastAsia="仿宋_GB2312" w:cs="Times New Roman"/>
                <w:sz w:val="24"/>
                <w:szCs w:val="20"/>
              </w:rPr>
            </w:pPr>
          </w:p>
        </w:tc>
        <w:tc>
          <w:tcPr>
            <w:tcW w:w="8093" w:type="dxa"/>
            <w:shd w:val="clear" w:color="auto" w:fill="auto"/>
            <w:vAlign w:val="center"/>
          </w:tcPr>
          <w:p>
            <w:pPr>
              <w:widowControl/>
              <w:rPr>
                <w:rFonts w:hint="eastAsia" w:ascii="仿宋_GB2312" w:hAnsi="等线" w:eastAsia="仿宋_GB2312" w:cs="Times New Roman"/>
                <w:sz w:val="24"/>
                <w:szCs w:val="21"/>
              </w:rPr>
            </w:pPr>
            <w:r>
              <w:rPr>
                <w:rFonts w:hint="eastAsia" w:ascii="仿宋_GB2312" w:hAnsi="等线" w:eastAsia="仿宋_GB2312" w:cs="Times New Roman"/>
                <w:sz w:val="24"/>
                <w:szCs w:val="21"/>
              </w:rPr>
              <w:t>每日出泥一测。采用筛孔直径为30 mm的圆孔试验筛，筛上物质量比例＜20%；采用筛孔直径为50 mm的圆孔试验筛，不应存在筛上物</w:t>
            </w:r>
          </w:p>
        </w:tc>
      </w:tr>
    </w:tbl>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考核结果：</w:t>
      </w:r>
    </w:p>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考核组组长签名：</w:t>
      </w:r>
    </w:p>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考核组副组长签名：</w:t>
      </w:r>
    </w:p>
    <w:p>
      <w:pPr>
        <w:spacing w:line="360" w:lineRule="auto"/>
        <w:rPr>
          <w:rFonts w:hint="eastAsia" w:ascii="仿宋_GB2312" w:hAnsi="等线" w:eastAsia="仿宋_GB2312" w:cs="Times New Roman"/>
          <w:b/>
          <w:sz w:val="32"/>
          <w:szCs w:val="32"/>
        </w:rPr>
      </w:pPr>
      <w:r>
        <w:rPr>
          <w:rFonts w:hint="eastAsia" w:ascii="仿宋_GB2312" w:hAnsi="等线" w:eastAsia="仿宋_GB2312" w:cs="Times New Roman"/>
          <w:b/>
          <w:sz w:val="32"/>
          <w:szCs w:val="32"/>
        </w:rPr>
        <w:t>考核组人员签名：</w:t>
      </w:r>
    </w:p>
    <w:bookmarkEnd w:id="61"/>
    <w:p>
      <w:pPr>
        <w:widowControl/>
        <w:spacing w:line="360" w:lineRule="auto"/>
        <w:rPr>
          <w:rFonts w:hint="eastAsia" w:ascii="等线" w:hAnsi="等线" w:eastAsia="仿宋_GB2312" w:cs="Times New Roman"/>
          <w:sz w:val="32"/>
          <w:szCs w:val="32"/>
        </w:rPr>
      </w:pPr>
    </w:p>
    <w:p>
      <w:pPr>
        <w:widowControl/>
        <w:spacing w:line="360" w:lineRule="auto"/>
        <w:rPr>
          <w:rFonts w:hint="eastAsia" w:ascii="仿宋_GB2312" w:hAnsi="等线" w:eastAsia="仿宋_GB2312" w:cs="Times New Roman"/>
          <w:sz w:val="32"/>
          <w:szCs w:val="32"/>
        </w:rPr>
      </w:pPr>
      <w:r>
        <w:rPr>
          <w:rFonts w:hint="eastAsia" w:ascii="仿宋_GB2312" w:hAnsi="等线" w:eastAsia="仿宋_GB2312" w:cs="Times New Roman"/>
          <w:sz w:val="28"/>
          <w:szCs w:val="32"/>
        </w:rPr>
        <w:t>2021年   月   日</w:t>
      </w:r>
    </w:p>
    <w:p>
      <w:pPr>
        <w:spacing w:line="360" w:lineRule="auto"/>
        <w:rPr>
          <w:rFonts w:hint="eastAsia" w:ascii="黑体" w:hAnsi="黑体" w:eastAsia="黑体" w:cs="方正小标宋简体"/>
          <w:b/>
          <w:bCs/>
          <w:spacing w:val="28"/>
          <w:sz w:val="32"/>
          <w:szCs w:val="32"/>
        </w:rPr>
      </w:pPr>
    </w:p>
    <w:p>
      <w:pPr>
        <w:spacing w:line="360" w:lineRule="auto"/>
        <w:rPr>
          <w:rFonts w:hint="eastAsia" w:ascii="黑体" w:hAnsi="黑体" w:eastAsia="黑体" w:cs="方正小标宋简体"/>
          <w:b/>
          <w:bCs/>
          <w:spacing w:val="28"/>
          <w:sz w:val="32"/>
          <w:szCs w:val="32"/>
        </w:rPr>
      </w:pPr>
    </w:p>
    <w:p>
      <w:pPr>
        <w:rPr>
          <w:rFonts w:hint="eastAsia" w:ascii="黑体" w:hAnsi="黑体" w:eastAsia="黑体" w:cs="方正小标宋简体"/>
          <w:b/>
          <w:bCs/>
          <w:spacing w:val="28"/>
          <w:szCs w:val="32"/>
        </w:rPr>
        <w:sectPr>
          <w:pgSz w:w="16838" w:h="11906" w:orient="landscape"/>
          <w:pgMar w:top="1800" w:right="1440" w:bottom="1800" w:left="1440" w:header="851" w:footer="992" w:gutter="0"/>
          <w:cols w:space="720" w:num="1"/>
          <w:docGrid w:type="lines" w:linePitch="435" w:charSpace="0"/>
        </w:sectPr>
      </w:pPr>
    </w:p>
    <w:p>
      <w:pPr>
        <w:keepNext/>
        <w:keepLines/>
        <w:spacing w:line="360" w:lineRule="auto"/>
        <w:outlineLvl w:val="0"/>
        <w:rPr>
          <w:rFonts w:ascii="Times New Roman" w:hAnsi="Times New Roman" w:eastAsia="黑体" w:cs="Times New Roman"/>
          <w:b/>
          <w:kern w:val="44"/>
          <w:sz w:val="32"/>
          <w:szCs w:val="22"/>
        </w:rPr>
      </w:pPr>
      <w:bookmarkStart w:id="63" w:name="_Toc23953"/>
      <w:r>
        <w:rPr>
          <w:rFonts w:hint="eastAsia" w:ascii="Times New Roman" w:hAnsi="Times New Roman" w:eastAsia="黑体" w:cs="Times New Roman"/>
          <w:b/>
          <w:kern w:val="44"/>
          <w:sz w:val="32"/>
          <w:szCs w:val="22"/>
        </w:rPr>
        <w:t>附件3</w:t>
      </w:r>
      <w:bookmarkEnd w:id="63"/>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污泥深度浓缩系统</w:t>
      </w: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操</w:t>
      </w:r>
    </w:p>
    <w:p>
      <w:pPr>
        <w:widowControl/>
        <w:jc w:val="center"/>
        <w:rPr>
          <w:rFonts w:hint="eastAsia" w:ascii="仿宋_GB2312" w:hAnsi="黑体" w:eastAsia="仿宋_GB2312" w:cs="Times New Roman"/>
          <w:b/>
          <w:sz w:val="7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作</w:t>
      </w:r>
    </w:p>
    <w:p>
      <w:pPr>
        <w:widowControl/>
        <w:jc w:val="center"/>
        <w:rPr>
          <w:rFonts w:hint="eastAsia" w:ascii="仿宋_GB2312" w:hAnsi="黑体" w:eastAsia="仿宋_GB2312" w:cs="Times New Roman"/>
          <w:b/>
          <w:sz w:val="7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规</w:t>
      </w:r>
    </w:p>
    <w:p>
      <w:pPr>
        <w:widowControl/>
        <w:jc w:val="center"/>
        <w:rPr>
          <w:rFonts w:hint="eastAsia" w:ascii="仿宋_GB2312" w:hAnsi="黑体" w:eastAsia="仿宋_GB2312" w:cs="Times New Roman"/>
          <w:b/>
          <w:sz w:val="72"/>
          <w:szCs w:val="22"/>
          <w:lang w:bidi="zh-CN"/>
        </w:rPr>
      </w:pPr>
    </w:p>
    <w:p>
      <w:pPr>
        <w:widowControl/>
        <w:jc w:val="center"/>
        <w:rPr>
          <w:rFonts w:hint="eastAsia" w:ascii="仿宋_GB2312" w:hAnsi="黑体" w:eastAsia="仿宋_GB2312" w:cs="Times New Roman"/>
          <w:b/>
          <w:sz w:val="72"/>
          <w:szCs w:val="22"/>
          <w:lang w:bidi="zh-CN"/>
        </w:rPr>
      </w:pPr>
      <w:r>
        <w:rPr>
          <w:rFonts w:hint="eastAsia" w:ascii="仿宋_GB2312" w:hAnsi="黑体" w:eastAsia="仿宋_GB2312" w:cs="Times New Roman"/>
          <w:b/>
          <w:sz w:val="72"/>
          <w:szCs w:val="22"/>
          <w:lang w:bidi="zh-CN"/>
        </w:rPr>
        <w:t>程</w:t>
      </w: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rPr>
          <w:rFonts w:hint="eastAsia" w:ascii="仿宋_GB2312" w:hAnsi="黑体" w:eastAsia="仿宋_GB2312" w:cs="Times New Roman"/>
          <w:b/>
          <w:sz w:val="32"/>
          <w:szCs w:val="22"/>
          <w:lang w:bidi="zh-CN"/>
        </w:rPr>
      </w:pPr>
    </w:p>
    <w:p>
      <w:pPr>
        <w:widowControl/>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2021 年 2 月</w:t>
      </w:r>
    </w:p>
    <w:p>
      <w:pPr>
        <w:widowControl/>
        <w:jc w:val="center"/>
        <w:rPr>
          <w:rFonts w:hint="eastAsia" w:ascii="仿宋_GB2312" w:hAnsi="黑体"/>
          <w:lang w:bidi="zh-CN"/>
        </w:rPr>
        <w:sectPr>
          <w:pgSz w:w="11910" w:h="16840"/>
          <w:pgMar w:top="1134" w:right="1134" w:bottom="1418" w:left="1418" w:header="720" w:footer="720" w:gutter="0"/>
          <w:cols w:space="720" w:num="1"/>
          <w:docGrid w:linePitch="299" w:charSpace="0"/>
        </w:sectPr>
      </w:pPr>
    </w:p>
    <w:p>
      <w:pPr>
        <w:widowControl/>
        <w:jc w:val="center"/>
        <w:rPr>
          <w:rFonts w:hint="eastAsia" w:ascii="仿宋_GB2312" w:hAnsi="仿宋_GB2312" w:eastAsia="仿宋_GB2312" w:cs="仿宋_GB2312"/>
          <w:sz w:val="32"/>
          <w:szCs w:val="22"/>
          <w:lang w:bidi="zh-CN"/>
        </w:rPr>
      </w:pPr>
      <w:bookmarkStart w:id="64" w:name="_Toc5424"/>
      <w:bookmarkStart w:id="65" w:name="_Toc64855221"/>
      <w:r>
        <w:rPr>
          <w:rFonts w:hint="eastAsia" w:ascii="仿宋_GB2312" w:hAnsi="仿宋_GB2312" w:eastAsia="仿宋_GB2312" w:cs="仿宋_GB2312"/>
          <w:sz w:val="32"/>
          <w:szCs w:val="22"/>
          <w:lang w:bidi="zh-CN"/>
        </w:rPr>
        <w:t>进泥操作流程</w:t>
      </w:r>
      <w:bookmarkEnd w:id="64"/>
      <w:bookmarkEnd w:id="65"/>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一、进泥：</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打开进泥阀后即可进泥，用原有进泥泵进泥。（调质罐配有超声波液位计，总容量约66立方，按需要进泥。进泥管配有流量计）进泥完成后需关闭进泥阀。</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1：按进泥阀的“启动按钮”（详看图示）；</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2：开原有进泥泵进泥。</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3：通过“液位计”确认进泥液位，达到试验所需泥量后先关闭原有进泥泵，再按进泥阀的“停止按钮”关闭进泥阀。</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二、药剂的搅拌与加药：</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现场2#3#4#5#药罐储存药剂后（确认加药阀门全部关闭后）可按需要对各药罐进行搅拌，同时或单一开启皆可。按需打开2#3#4#5#药罐对应加药阀门，通过2#3#加药泵进行药剂投加（注：由于2#3#药罐为共用1#加药泵、4#5#药罐为共用2#加药泵）（2#药罐容量：1m³、3#药罐容量：3m³、4#药罐容量：1m³、5#药罐容量：3m³）。</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4：2#3#4#5#药罐添加药剂储存口皆为罐顶加药口，当完成药罐储存药剂后，分别按按2#3#4#5#搅拌器的“启动按钮”进行搅拌。搅拌完成后按2#3#4#5# 的“停止按钮”进行关闭。（搅拌时长按使用方需要，搅拌机功率为0.75KW（2#、4#）与1.5KW（3#、5#））（注：当药罐处于空管或液位低于500mm时不可进行搅拌）</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5：加药需先手动打开加药阀门添加2#药罐管体内打开2#加药阀、添加3#药罐管体内打开3#加药阀、添加4#药罐管体内打开4#加药阀、添加5#药罐管体内打开5#加药阀.（注：由于2#3#药罐为共用1#加药泵、4#5#药罐为共用2#加药泵）。</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6：手动打开6#、7#加药泵阀阀门（2#3#药罐对应6#加药泵阀门，4#5#药罐对应7#加药泵阀门）。确认阀门开启后按1#泵“启动按钮”进行2#3#药罐药剂添加、按2#泵“启动按钮”进行4#5#药罐药剂添加。（1#2#加药泵流量2000L/h，泵后均配有流量计，药量根据流量计的数值进行具体操作加药的药量）</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7：按需加药完成后先按1#或2#加药泵的“停止按钮”停止加药，完成后需关闭所有药剂阀门。</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三、调制搅拌罐内泥及药操作流程</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8：按1#搅拌器“启动按钮”进行搅拌。（加药完成后进行搅拌）</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9：搅拌完成后按1#搅拌器的“停止按钮”进行关闭。</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四、放空及溢流操作流程</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10：根据需要按溢流阀“启动按钮”，或“停止按钮”打开或关闭。</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11： 出泥阀“启动按钮”或“停止按钮”根据罐内是否需要排泥的情况进行打开或关闭。</w:t>
      </w:r>
    </w:p>
    <w:p>
      <w:pPr>
        <w:widowControl/>
        <w:rPr>
          <w:rFonts w:hint="eastAsia" w:ascii="仿宋_GB2312" w:hAnsi="仿宋_GB2312" w:eastAsia="仿宋_GB2312" w:cs="仿宋_GB2312"/>
          <w:sz w:val="32"/>
          <w:szCs w:val="22"/>
          <w:lang w:bidi="zh-CN"/>
        </w:rPr>
      </w:pPr>
      <w:r>
        <w:rPr>
          <w:rFonts w:hint="eastAsia" w:ascii="仿宋_GB2312" w:hAnsi="仿宋_GB2312" w:eastAsia="仿宋_GB2312" w:cs="仿宋_GB2312"/>
          <w:sz w:val="32"/>
          <w:szCs w:val="22"/>
          <w:lang w:bidi="zh-CN"/>
        </w:rPr>
        <w:t>步骤 12：放空阀在试验结束后手动进行打开排放至井内。</w:t>
      </w:r>
    </w:p>
    <w:p>
      <w:pPr>
        <w:widowControl/>
        <w:rPr>
          <w:rFonts w:hint="eastAsia" w:ascii="仿宋_GB2312" w:hAnsi="黑体" w:eastAsia="仿宋_GB2312" w:cs="Times New Roman"/>
          <w:sz w:val="32"/>
          <w:szCs w:val="22"/>
          <w:lang w:bidi="zh-CN"/>
        </w:rPr>
      </w:pPr>
      <w:r>
        <w:rPr>
          <w:rFonts w:hint="eastAsia" w:ascii="仿宋_GB2312" w:hAnsi="仿宋_GB2312" w:eastAsia="仿宋_GB2312" w:cs="仿宋_GB2312"/>
          <w:sz w:val="32"/>
          <w:szCs w:val="22"/>
          <w:lang w:bidi="zh-CN"/>
        </w:rPr>
        <w:t>步骤 13：罐体放空完成后手动关闭放空阀。</w:t>
      </w:r>
    </w:p>
    <w:p>
      <w:pPr>
        <w:widowControl/>
        <w:rPr>
          <w:rFonts w:hint="eastAsia" w:ascii="仿宋_GB2312" w:hAnsi="黑体" w:eastAsia="仿宋_GB2312" w:cs="Times New Roman"/>
          <w:sz w:val="32"/>
          <w:szCs w:val="22"/>
          <w:lang w:bidi="zh-CN"/>
        </w:rPr>
      </w:pPr>
      <w:bookmarkStart w:id="66" w:name="_Toc9044"/>
      <w:r>
        <w:rPr>
          <w:rFonts w:ascii="仿宋_GB2312" w:hAnsi="黑体" w:eastAsia="仿宋_GB2312" w:cs="Times New Roman"/>
          <w:sz w:val="32"/>
          <w:szCs w:val="22"/>
          <w:lang w:bidi="zh-CN"/>
        </w:rPr>
        <w:br w:type="page"/>
      </w:r>
      <w:r>
        <w:rPr>
          <w:rFonts w:ascii="仿宋_GB2312" w:hAnsi="黑体" w:eastAsia="仿宋_GB2312" w:cs="Times New Roman"/>
          <w:sz w:val="32"/>
          <w:szCs w:val="22"/>
        </w:rPr>
        <w:drawing>
          <wp:inline distT="0" distB="0" distL="0" distR="0">
            <wp:extent cx="5357495" cy="7143750"/>
            <wp:effectExtent l="0" t="0" r="146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1" cstate="print"/>
                    <a:stretch>
                      <a:fillRect/>
                    </a:stretch>
                  </pic:blipFill>
                  <pic:spPr>
                    <a:xfrm>
                      <a:off x="0" y="0"/>
                      <a:ext cx="5365646" cy="7154195"/>
                    </a:xfrm>
                    <a:prstGeom prst="rect">
                      <a:avLst/>
                    </a:prstGeom>
                  </pic:spPr>
                </pic:pic>
              </a:graphicData>
            </a:graphic>
          </wp:inline>
        </w:drawing>
      </w:r>
    </w:p>
    <w:p>
      <w:pPr>
        <w:widowControl/>
        <w:rPr>
          <w:rFonts w:hint="eastAsia" w:ascii="仿宋_GB2312" w:hAnsi="黑体" w:eastAsia="仿宋_GB2312" w:cs="Times New Roman"/>
          <w:b/>
          <w:bCs/>
          <w:sz w:val="32"/>
          <w:szCs w:val="22"/>
          <w:lang w:bidi="zh-CN"/>
        </w:rPr>
      </w:pPr>
    </w:p>
    <w:p>
      <w:pPr>
        <w:widowControl/>
        <w:rPr>
          <w:rFonts w:hint="eastAsia" w:ascii="仿宋_GB2312" w:hAnsi="黑体" w:eastAsia="仿宋_GB2312" w:cs="Times New Roman"/>
          <w:b/>
          <w:bCs/>
          <w:sz w:val="32"/>
          <w:szCs w:val="22"/>
          <w:lang w:bidi="zh-CN"/>
        </w:rPr>
      </w:pPr>
    </w:p>
    <w:p>
      <w:pPr>
        <w:widowControl/>
        <w:rPr>
          <w:rFonts w:hint="eastAsia" w:ascii="仿宋_GB2312" w:hAnsi="黑体" w:eastAsia="仿宋_GB2312" w:cs="Times New Roman"/>
          <w:b/>
          <w:bCs/>
          <w:sz w:val="32"/>
          <w:szCs w:val="22"/>
          <w:lang w:bidi="zh-CN"/>
        </w:rPr>
      </w:pPr>
    </w:p>
    <w:p>
      <w:pPr>
        <w:widowControl/>
        <w:jc w:val="center"/>
        <w:rPr>
          <w:rFonts w:hint="eastAsia" w:ascii="仿宋_GB2312" w:hAnsi="黑体" w:eastAsia="仿宋_GB2312" w:cs="Times New Roman"/>
          <w:b/>
          <w:bCs/>
          <w:sz w:val="32"/>
          <w:szCs w:val="22"/>
          <w:lang w:bidi="zh-CN"/>
        </w:rPr>
      </w:pPr>
      <w:r>
        <w:rPr>
          <w:rFonts w:hint="eastAsia" w:ascii="仿宋_GB2312" w:hAnsi="黑体" w:eastAsia="仿宋_GB2312" w:cs="Times New Roman"/>
          <w:b/>
          <w:bCs/>
          <w:sz w:val="32"/>
          <w:szCs w:val="22"/>
          <w:lang w:bidi="zh-CN"/>
        </w:rPr>
        <w:t>易损易耗件明细表</w:t>
      </w:r>
    </w:p>
    <w:p>
      <w:pPr>
        <w:widowControl/>
        <w:jc w:val="center"/>
        <w:rPr>
          <w:rFonts w:hint="eastAsia" w:ascii="仿宋_GB2312" w:hAnsi="黑体" w:eastAsia="仿宋_GB2312" w:cs="Times New Roman"/>
          <w:b/>
          <w:bCs/>
          <w:sz w:val="32"/>
          <w:szCs w:val="22"/>
          <w:lang w:bidi="zh-CN"/>
        </w:rPr>
      </w:pPr>
      <w:r>
        <w:rPr>
          <w:rFonts w:hint="eastAsia" w:ascii="仿宋_GB2312" w:hAnsi="黑体" w:eastAsia="仿宋_GB2312" w:cs="Times New Roman"/>
          <w:b/>
          <w:bCs/>
          <w:sz w:val="32"/>
          <w:szCs w:val="22"/>
          <w:lang w:bidi="zh-CN"/>
        </w:rPr>
        <w:t>进泥系统</w:t>
      </w:r>
      <w:bookmarkEnd w:id="66"/>
    </w:p>
    <w:tbl>
      <w:tblPr>
        <w:tblStyle w:val="14"/>
        <w:tblW w:w="852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42"/>
        <w:gridCol w:w="3027"/>
        <w:gridCol w:w="2273"/>
        <w:gridCol w:w="20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3" w:hRule="atLeast"/>
        </w:trPr>
        <w:tc>
          <w:tcPr>
            <w:tcW w:w="1142"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序号</w:t>
            </w:r>
          </w:p>
        </w:tc>
        <w:tc>
          <w:tcPr>
            <w:tcW w:w="3027"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设备名称</w:t>
            </w:r>
          </w:p>
        </w:tc>
        <w:tc>
          <w:tcPr>
            <w:tcW w:w="2273"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规格型号</w:t>
            </w:r>
          </w:p>
        </w:tc>
        <w:tc>
          <w:tcPr>
            <w:tcW w:w="2081" w:type="dxa"/>
            <w:vAlign w:val="center"/>
          </w:tcPr>
          <w:p>
            <w:pPr>
              <w:widowControl/>
              <w:adjustRightInd w:val="0"/>
              <w:snapToGrid w:val="0"/>
              <w:jc w:val="center"/>
              <w:rPr>
                <w:rFonts w:hint="eastAsia" w:ascii="仿宋_GB2312" w:hAnsi="黑体" w:eastAsia="仿宋_GB2312" w:cs="Times New Roman"/>
                <w:b/>
                <w:sz w:val="32"/>
                <w:szCs w:val="22"/>
                <w:lang w:bidi="zh-CN"/>
              </w:rPr>
            </w:pPr>
            <w:r>
              <w:rPr>
                <w:rFonts w:hint="eastAsia" w:ascii="仿宋_GB2312" w:hAnsi="黑体" w:eastAsia="仿宋_GB2312" w:cs="Times New Roman"/>
                <w:b/>
                <w:sz w:val="32"/>
                <w:szCs w:val="22"/>
                <w:lang w:bidi="zh-CN"/>
              </w:rPr>
              <w:t>设备配件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3" w:hRule="atLeast"/>
        </w:trPr>
        <w:tc>
          <w:tcPr>
            <w:tcW w:w="1142" w:type="dxa"/>
            <w:vMerge w:val="restart"/>
            <w:vAlign w:val="center"/>
          </w:tcPr>
          <w:p>
            <w:pPr>
              <w:widowControl/>
              <w:adjustRightInd w:val="0"/>
              <w:snapToGrid w:val="0"/>
              <w:jc w:val="center"/>
              <w:rPr>
                <w:rFonts w:hint="eastAsia" w:ascii="仿宋_GB2312" w:hAnsi="黑体" w:eastAsia="仿宋_GB2312" w:cs="Times New Roman"/>
                <w:bCs/>
                <w:sz w:val="32"/>
                <w:szCs w:val="22"/>
                <w:lang w:bidi="zh-CN"/>
              </w:rPr>
            </w:pPr>
            <w:r>
              <w:rPr>
                <w:rFonts w:hint="eastAsia" w:ascii="仿宋_GB2312" w:hAnsi="黑体" w:eastAsia="仿宋_GB2312" w:cs="Times New Roman"/>
                <w:bCs/>
                <w:sz w:val="32"/>
                <w:szCs w:val="22"/>
                <w:lang w:bidi="zh-CN"/>
              </w:rPr>
              <w:t>1</w:t>
            </w:r>
          </w:p>
        </w:tc>
        <w:tc>
          <w:tcPr>
            <w:tcW w:w="3027" w:type="dxa"/>
            <w:vMerge w:val="restart"/>
            <w:vAlign w:val="center"/>
          </w:tcPr>
          <w:p>
            <w:pPr>
              <w:widowControl/>
              <w:adjustRightInd w:val="0"/>
              <w:snapToGrid w:val="0"/>
              <w:jc w:val="center"/>
              <w:rPr>
                <w:rFonts w:hint="eastAsia" w:ascii="仿宋_GB2312" w:hAnsi="黑体" w:eastAsia="仿宋_GB2312" w:cs="Times New Roman"/>
                <w:bCs/>
                <w:sz w:val="32"/>
                <w:szCs w:val="22"/>
                <w:lang w:bidi="zh-CN"/>
              </w:rPr>
            </w:pPr>
            <w:r>
              <w:rPr>
                <w:rFonts w:hint="eastAsia" w:ascii="仿宋_GB2312" w:hAnsi="黑体" w:eastAsia="仿宋_GB2312" w:cs="Times New Roman"/>
                <w:bCs/>
                <w:sz w:val="32"/>
                <w:szCs w:val="22"/>
                <w:lang w:bidi="zh-CN"/>
              </w:rPr>
              <w:t>浓缩罐搅拌器</w:t>
            </w:r>
          </w:p>
        </w:tc>
        <w:tc>
          <w:tcPr>
            <w:tcW w:w="2273" w:type="dxa"/>
            <w:vMerge w:val="restart"/>
            <w:vAlign w:val="center"/>
          </w:tcPr>
          <w:p>
            <w:pPr>
              <w:widowControl/>
              <w:adjustRightInd w:val="0"/>
              <w:snapToGrid w:val="0"/>
              <w:jc w:val="center"/>
              <w:rPr>
                <w:rFonts w:hint="eastAsia" w:ascii="仿宋_GB2312" w:hAnsi="黑体" w:eastAsia="仿宋_GB2312" w:cs="Times New Roman"/>
                <w:bCs/>
                <w:sz w:val="32"/>
                <w:szCs w:val="22"/>
                <w:lang w:bidi="zh-CN"/>
              </w:rPr>
            </w:pPr>
            <w:r>
              <w:rPr>
                <w:rFonts w:hint="eastAsia" w:ascii="仿宋_GB2312" w:hAnsi="黑体" w:eastAsia="仿宋_GB2312" w:cs="Times New Roman"/>
                <w:bCs/>
                <w:sz w:val="32"/>
                <w:szCs w:val="22"/>
                <w:lang w:bidi="zh-CN"/>
              </w:rPr>
              <w:t>B</w:t>
            </w:r>
            <w:r>
              <w:rPr>
                <w:rFonts w:ascii="仿宋_GB2312" w:hAnsi="黑体" w:eastAsia="仿宋_GB2312" w:cs="Times New Roman"/>
                <w:bCs/>
                <w:sz w:val="32"/>
                <w:szCs w:val="22"/>
                <w:lang w:bidi="zh-CN"/>
              </w:rPr>
              <w:t>LD5-87-22</w:t>
            </w: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轴承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1"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轴套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2"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联轴器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1"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密封圈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机械密封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1" w:hRule="atLeast"/>
        </w:trPr>
        <w:tc>
          <w:tcPr>
            <w:tcW w:w="1142"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3027"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273" w:type="dxa"/>
            <w:vMerge w:val="continue"/>
            <w:tcBorders>
              <w:top w:val="nil"/>
            </w:tcBorders>
            <w:vAlign w:val="center"/>
          </w:tcPr>
          <w:p>
            <w:pPr>
              <w:widowControl/>
              <w:adjustRightInd w:val="0"/>
              <w:snapToGrid w:val="0"/>
              <w:jc w:val="center"/>
              <w:rPr>
                <w:rFonts w:hint="eastAsia" w:ascii="仿宋_GB2312" w:hAnsi="黑体" w:eastAsia="仿宋_GB2312" w:cs="Times New Roman"/>
                <w:sz w:val="32"/>
                <w:szCs w:val="22"/>
                <w:lang w:bidi="zh-CN"/>
              </w:rPr>
            </w:pPr>
          </w:p>
        </w:tc>
        <w:tc>
          <w:tcPr>
            <w:tcW w:w="2081" w:type="dxa"/>
            <w:vAlign w:val="center"/>
          </w:tcPr>
          <w:p>
            <w:pPr>
              <w:widowControl/>
              <w:adjustRightInd w:val="0"/>
              <w:snapToGrid w:val="0"/>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油封</w:t>
            </w:r>
          </w:p>
        </w:tc>
      </w:tr>
    </w:tbl>
    <w:p>
      <w:pPr>
        <w:widowControl/>
        <w:jc w:val="center"/>
        <w:rPr>
          <w:rFonts w:hint="eastAsia" w:ascii="仿宋_GB2312" w:hAnsi="黑体" w:eastAsia="仿宋_GB2312" w:cs="Times New Roman"/>
          <w:b/>
          <w:bCs/>
          <w:sz w:val="32"/>
          <w:szCs w:val="22"/>
          <w:lang w:bidi="zh-CN"/>
        </w:rPr>
      </w:pPr>
      <w:r>
        <w:rPr>
          <w:rFonts w:hint="eastAsia" w:ascii="仿宋_GB2312" w:hAnsi="黑体" w:eastAsia="仿宋_GB2312" w:cs="Times New Roman"/>
          <w:b/>
          <w:bCs/>
          <w:sz w:val="32"/>
          <w:szCs w:val="22"/>
          <w:lang w:bidi="zh-CN"/>
        </w:rPr>
        <w:t>易损品明细表</w:t>
      </w:r>
    </w:p>
    <w:tbl>
      <w:tblPr>
        <w:tblStyle w:val="15"/>
        <w:tblW w:w="84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3017"/>
        <w:gridCol w:w="2267"/>
        <w:gridCol w:w="1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1150"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序号</w:t>
            </w:r>
          </w:p>
        </w:tc>
        <w:tc>
          <w:tcPr>
            <w:tcW w:w="301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使用设备名称</w:t>
            </w:r>
          </w:p>
        </w:tc>
        <w:tc>
          <w:tcPr>
            <w:tcW w:w="226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种类</w:t>
            </w:r>
          </w:p>
        </w:tc>
        <w:tc>
          <w:tcPr>
            <w:tcW w:w="196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型号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jc w:val="center"/>
        </w:trPr>
        <w:tc>
          <w:tcPr>
            <w:tcW w:w="1150"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1</w:t>
            </w:r>
          </w:p>
        </w:tc>
        <w:tc>
          <w:tcPr>
            <w:tcW w:w="301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计量泵</w:t>
            </w:r>
          </w:p>
        </w:tc>
        <w:tc>
          <w:tcPr>
            <w:tcW w:w="2267" w:type="dxa"/>
            <w:vAlign w:val="center"/>
          </w:tcPr>
          <w:p>
            <w:pPr>
              <w:widowControl/>
              <w:jc w:val="center"/>
              <w:rPr>
                <w:rFonts w:hint="eastAsia" w:ascii="仿宋_GB2312" w:hAnsi="黑体" w:eastAsia="仿宋_GB2312" w:cs="Times New Roman"/>
                <w:sz w:val="32"/>
                <w:szCs w:val="22"/>
                <w:lang w:bidi="zh-CN"/>
              </w:rPr>
            </w:pPr>
            <w:r>
              <w:rPr>
                <w:rFonts w:ascii="仿宋_GB2312" w:hAnsi="黑体" w:eastAsia="仿宋_GB2312" w:cs="Times New Roman"/>
                <w:sz w:val="32"/>
                <w:szCs w:val="22"/>
                <w:lang w:bidi="zh-CN"/>
              </w:rPr>
              <w:t>齿轮油</w:t>
            </w:r>
          </w:p>
        </w:tc>
        <w:tc>
          <w:tcPr>
            <w:tcW w:w="196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HML46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jc w:val="center"/>
        </w:trPr>
        <w:tc>
          <w:tcPr>
            <w:tcW w:w="1150"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2</w:t>
            </w:r>
          </w:p>
        </w:tc>
        <w:tc>
          <w:tcPr>
            <w:tcW w:w="301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板框机</w:t>
            </w:r>
          </w:p>
        </w:tc>
        <w:tc>
          <w:tcPr>
            <w:tcW w:w="2267" w:type="dxa"/>
            <w:vAlign w:val="center"/>
          </w:tcPr>
          <w:p>
            <w:pPr>
              <w:widowControl/>
              <w:jc w:val="center"/>
              <w:rPr>
                <w:rFonts w:hint="eastAsia" w:ascii="仿宋_GB2312" w:hAnsi="黑体" w:eastAsia="仿宋_GB2312" w:cs="Times New Roman"/>
                <w:sz w:val="32"/>
                <w:szCs w:val="22"/>
                <w:lang w:bidi="zh-CN"/>
              </w:rPr>
            </w:pPr>
            <w:r>
              <w:rPr>
                <w:rFonts w:hint="eastAsia" w:ascii="仿宋_GB2312" w:hAnsi="黑体" w:eastAsia="仿宋_GB2312" w:cs="Times New Roman"/>
                <w:sz w:val="32"/>
                <w:szCs w:val="22"/>
                <w:lang w:bidi="zh-CN"/>
              </w:rPr>
              <w:t>滤布</w:t>
            </w:r>
          </w:p>
        </w:tc>
        <w:tc>
          <w:tcPr>
            <w:tcW w:w="1967" w:type="dxa"/>
            <w:vAlign w:val="center"/>
          </w:tcPr>
          <w:p>
            <w:pPr>
              <w:widowControl/>
              <w:jc w:val="center"/>
              <w:rPr>
                <w:rFonts w:hint="eastAsia" w:ascii="仿宋_GB2312" w:hAnsi="黑体" w:eastAsia="仿宋_GB2312" w:cs="Times New Roman"/>
                <w:sz w:val="32"/>
                <w:szCs w:val="22"/>
                <w:lang w:bidi="zh-CN"/>
              </w:rPr>
            </w:pPr>
          </w:p>
        </w:tc>
      </w:tr>
    </w:tbl>
    <w:p>
      <w:pPr>
        <w:widowControl/>
        <w:sectPr>
          <w:pgSz w:w="11906" w:h="16838"/>
          <w:pgMar w:top="1440" w:right="1800" w:bottom="1440" w:left="1800" w:header="851" w:footer="992" w:gutter="0"/>
          <w:cols w:space="720" w:num="1"/>
          <w:docGrid w:type="lines" w:linePitch="312" w:charSpace="0"/>
        </w:sectPr>
      </w:pPr>
      <w:r>
        <w:rPr>
          <w:rFonts w:ascii="等线" w:hAnsi="等线" w:eastAsia="仿宋_GB2312" w:cs="Times New Roman"/>
          <w:sz w:val="32"/>
          <w:szCs w:val="22"/>
        </w:rPr>
        <w:t xml:space="preserve"> </w:t>
      </w:r>
    </w:p>
    <w:p>
      <w:pPr>
        <w:widowControl/>
        <w:rPr>
          <w:rFonts w:hint="eastAsia" w:ascii="黑体" w:hAnsi="黑体" w:eastAsia="黑体" w:cs="方正小标宋简体"/>
          <w:b/>
          <w:bCs/>
          <w:spacing w:val="28"/>
          <w:sz w:val="32"/>
          <w:szCs w:val="32"/>
        </w:rPr>
      </w:pPr>
      <w:r>
        <w:rPr>
          <w:rFonts w:ascii="等线" w:hAnsi="等线" w:eastAsia="仿宋_GB2312" w:cs="Times New Roman"/>
          <w:sz w:val="32"/>
          <w:szCs w:val="22"/>
        </w:rPr>
        <w:drawing>
          <wp:inline distT="0" distB="0" distL="0" distR="0">
            <wp:extent cx="8249920" cy="5274310"/>
            <wp:effectExtent l="0" t="0" r="1778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2"/>
                    <a:stretch>
                      <a:fillRect/>
                    </a:stretch>
                  </pic:blipFill>
                  <pic:spPr>
                    <a:xfrm>
                      <a:off x="0" y="0"/>
                      <a:ext cx="8249920" cy="5274310"/>
                    </a:xfrm>
                    <a:prstGeom prst="rect">
                      <a:avLst/>
                    </a:prstGeom>
                  </pic:spPr>
                </pic:pic>
              </a:graphicData>
            </a:graphic>
          </wp:inline>
        </w:drawing>
      </w:r>
    </w:p>
    <w:p>
      <w:pPr>
        <w:widowControl/>
        <w:rPr>
          <w:rFonts w:hint="eastAsia" w:ascii="黑体" w:hAnsi="黑体" w:eastAsia="黑体" w:cs="方正小标宋简体"/>
          <w:b/>
          <w:bCs/>
          <w:spacing w:val="28"/>
          <w:szCs w:val="32"/>
        </w:rPr>
        <w:sectPr>
          <w:pgSz w:w="16838" w:h="11906" w:orient="landscape"/>
          <w:pgMar w:top="1800" w:right="1440" w:bottom="1800" w:left="1440" w:header="851" w:footer="992" w:gutter="0"/>
          <w:cols w:space="720" w:num="1"/>
          <w:docGrid w:type="lines" w:linePitch="435" w:charSpace="0"/>
        </w:sectPr>
      </w:pPr>
    </w:p>
    <w:p>
      <w:pPr>
        <w:keepNext/>
        <w:keepLines/>
        <w:spacing w:line="360" w:lineRule="auto"/>
        <w:outlineLvl w:val="0"/>
        <w:rPr>
          <w:rFonts w:ascii="Times New Roman" w:hAnsi="Times New Roman" w:eastAsia="黑体" w:cs="Times New Roman"/>
          <w:b/>
          <w:kern w:val="44"/>
          <w:sz w:val="32"/>
          <w:szCs w:val="22"/>
        </w:rPr>
      </w:pPr>
      <w:bookmarkStart w:id="67" w:name="_Toc10987"/>
      <w:r>
        <w:rPr>
          <w:rFonts w:hint="eastAsia" w:ascii="Times New Roman" w:hAnsi="Times New Roman" w:eastAsia="黑体" w:cs="Times New Roman"/>
          <w:b/>
          <w:kern w:val="44"/>
          <w:sz w:val="32"/>
          <w:szCs w:val="22"/>
        </w:rPr>
        <w:t>附件4</w:t>
      </w:r>
      <w:bookmarkEnd w:id="67"/>
    </w:p>
    <w:tbl>
      <w:tblPr>
        <w:tblStyle w:val="14"/>
        <w:tblW w:w="13892" w:type="dxa"/>
        <w:tblInd w:w="108" w:type="dxa"/>
        <w:tblLayout w:type="fixed"/>
        <w:tblCellMar>
          <w:top w:w="0" w:type="dxa"/>
          <w:left w:w="108" w:type="dxa"/>
          <w:bottom w:w="0" w:type="dxa"/>
          <w:right w:w="108" w:type="dxa"/>
        </w:tblCellMar>
      </w:tblPr>
      <w:tblGrid>
        <w:gridCol w:w="426"/>
        <w:gridCol w:w="1134"/>
        <w:gridCol w:w="1417"/>
        <w:gridCol w:w="567"/>
        <w:gridCol w:w="1310"/>
        <w:gridCol w:w="533"/>
        <w:gridCol w:w="709"/>
        <w:gridCol w:w="992"/>
        <w:gridCol w:w="850"/>
        <w:gridCol w:w="993"/>
        <w:gridCol w:w="992"/>
        <w:gridCol w:w="1134"/>
        <w:gridCol w:w="2835"/>
      </w:tblGrid>
      <w:tr>
        <w:tblPrEx>
          <w:tblCellMar>
            <w:top w:w="0" w:type="dxa"/>
            <w:left w:w="108" w:type="dxa"/>
            <w:bottom w:w="0" w:type="dxa"/>
            <w:right w:w="108" w:type="dxa"/>
          </w:tblCellMar>
        </w:tblPrEx>
        <w:trPr>
          <w:trHeight w:val="480" w:hRule="atLeast"/>
        </w:trPr>
        <w:tc>
          <w:tcPr>
            <w:tcW w:w="13892" w:type="dxa"/>
            <w:gridSpan w:val="13"/>
            <w:tcBorders>
              <w:top w:val="nil"/>
              <w:left w:val="nil"/>
              <w:bottom w:val="nil"/>
              <w:right w:val="nil"/>
            </w:tcBorders>
            <w:shd w:val="clear" w:color="auto" w:fill="auto"/>
            <w:vAlign w:val="center"/>
          </w:tcPr>
          <w:p>
            <w:pPr>
              <w:widowControl/>
              <w:jc w:val="center"/>
              <w:rPr>
                <w:rFonts w:hint="eastAsia" w:ascii="仿宋_GB2312" w:hAnsi="仿宋_GB2312" w:eastAsia="仿宋_GB2312" w:cs="仿宋_GB2312"/>
                <w:b/>
                <w:bCs/>
                <w:kern w:val="0"/>
                <w:sz w:val="36"/>
                <w:szCs w:val="36"/>
              </w:rPr>
            </w:pPr>
            <w:r>
              <w:rPr>
                <w:rFonts w:hint="eastAsia" w:ascii="仿宋_GB2312" w:hAnsi="仿宋_GB2312" w:eastAsia="仿宋_GB2312" w:cs="仿宋_GB2312"/>
                <w:b/>
                <w:bCs/>
                <w:kern w:val="0"/>
                <w:sz w:val="36"/>
                <w:szCs w:val="36"/>
              </w:rPr>
              <w:t>设备性能完好确认书</w:t>
            </w:r>
          </w:p>
        </w:tc>
      </w:tr>
      <w:tr>
        <w:tblPrEx>
          <w:tblCellMar>
            <w:top w:w="0" w:type="dxa"/>
            <w:left w:w="108" w:type="dxa"/>
            <w:bottom w:w="0" w:type="dxa"/>
            <w:right w:w="108" w:type="dxa"/>
          </w:tblCellMar>
        </w:tblPrEx>
        <w:trPr>
          <w:trHeight w:val="285" w:hRule="atLeast"/>
        </w:trPr>
        <w:tc>
          <w:tcPr>
            <w:tcW w:w="2977" w:type="dxa"/>
            <w:gridSpan w:val="3"/>
            <w:tcBorders>
              <w:top w:val="single" w:color="auto" w:sz="4" w:space="0"/>
              <w:left w:val="single" w:color="auto" w:sz="4" w:space="0"/>
              <w:bottom w:val="single" w:color="auto" w:sz="4" w:space="0"/>
              <w:right w:val="nil"/>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日期： 2021年 月 日                 </w:t>
            </w:r>
          </w:p>
        </w:tc>
        <w:tc>
          <w:tcPr>
            <w:tcW w:w="5954" w:type="dxa"/>
            <w:gridSpan w:val="7"/>
            <w:tcBorders>
              <w:top w:val="single" w:color="auto" w:sz="4" w:space="0"/>
              <w:left w:val="nil"/>
              <w:bottom w:val="single" w:color="auto" w:sz="4" w:space="0"/>
              <w:right w:val="nil"/>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4961" w:type="dxa"/>
            <w:gridSpan w:val="3"/>
            <w:tcBorders>
              <w:top w:val="single" w:color="auto" w:sz="4" w:space="0"/>
              <w:left w:val="nil"/>
              <w:bottom w:val="single" w:color="auto" w:sz="4" w:space="0"/>
              <w:right w:val="single" w:color="000000"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r>
      <w:tr>
        <w:tblPrEx>
          <w:tblCellMar>
            <w:top w:w="0" w:type="dxa"/>
            <w:left w:w="108" w:type="dxa"/>
            <w:bottom w:w="0" w:type="dxa"/>
            <w:right w:w="108" w:type="dxa"/>
          </w:tblCellMar>
        </w:tblPrEx>
        <w:trPr>
          <w:trHeight w:val="285" w:hRule="atLeast"/>
        </w:trPr>
        <w:tc>
          <w:tcPr>
            <w:tcW w:w="426"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序号</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项目</w:t>
            </w:r>
          </w:p>
        </w:tc>
        <w:tc>
          <w:tcPr>
            <w:tcW w:w="1417"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设备名称</w:t>
            </w:r>
          </w:p>
        </w:tc>
        <w:tc>
          <w:tcPr>
            <w:tcW w:w="567"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数量</w:t>
            </w:r>
          </w:p>
        </w:tc>
        <w:tc>
          <w:tcPr>
            <w:tcW w:w="1310"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安装地点</w:t>
            </w:r>
          </w:p>
        </w:tc>
        <w:tc>
          <w:tcPr>
            <w:tcW w:w="4077" w:type="dxa"/>
            <w:gridSpan w:val="5"/>
            <w:tcBorders>
              <w:top w:val="single" w:color="auto" w:sz="4" w:space="0"/>
              <w:left w:val="nil"/>
              <w:bottom w:val="single" w:color="auto" w:sz="4" w:space="0"/>
              <w:right w:val="single" w:color="auto" w:sz="4" w:space="0"/>
            </w:tcBorders>
            <w:shd w:val="clear" w:color="auto" w:fill="auto"/>
            <w:vAlign w:val="bottom"/>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检     查     内     容</w:t>
            </w:r>
          </w:p>
        </w:tc>
        <w:tc>
          <w:tcPr>
            <w:tcW w:w="992"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设备性能完好</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存在问题</w:t>
            </w: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说明</w:t>
            </w:r>
          </w:p>
        </w:tc>
      </w:tr>
      <w:tr>
        <w:tblPrEx>
          <w:tblCellMar>
            <w:top w:w="0" w:type="dxa"/>
            <w:left w:w="108" w:type="dxa"/>
            <w:bottom w:w="0" w:type="dxa"/>
            <w:right w:w="108" w:type="dxa"/>
          </w:tblCellMar>
        </w:tblPrEx>
        <w:trPr>
          <w:trHeight w:val="480" w:hRule="atLeast"/>
        </w:trPr>
        <w:tc>
          <w:tcPr>
            <w:tcW w:w="426"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567"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310"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①基础</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②结构</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③润滑</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④计量及防护</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⑤运行效能</w:t>
            </w:r>
          </w:p>
        </w:tc>
        <w:tc>
          <w:tcPr>
            <w:tcW w:w="992"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2835" w:type="dxa"/>
            <w:vMerge w:val="restart"/>
            <w:tcBorders>
              <w:top w:val="single" w:color="auto" w:sz="4" w:space="0"/>
              <w:left w:val="nil"/>
              <w:bottom w:val="single" w:color="000000" w:sz="4" w:space="0"/>
              <w:right w:val="single" w:color="000000" w:sz="4" w:space="0"/>
            </w:tcBorders>
            <w:shd w:val="clear" w:color="auto" w:fill="auto"/>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检查内容：</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①基础：基础稳固，无腐蚀、倾斜、裂缝，连接牢靠，无松动断裂和脱落现象，设备表面清洁；</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②结构：结构完整，零部件齐全，磨损、腐蚀和变形均在允许范围；</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③润滑：润滑良好，没有油、水、气等介质的跑、冒、滴、漏现象；</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④计量仪表和防护装置：计量仪表灵敏可靠，安全防护装置齐全；</w:t>
            </w:r>
            <w:r>
              <w:rPr>
                <w:rFonts w:hint="eastAsia" w:ascii="仿宋_GB2312" w:hAnsi="仿宋_GB2312" w:eastAsia="仿宋_GB2312" w:cs="仿宋_GB2312"/>
                <w:b/>
                <w:bCs/>
                <w:kern w:val="0"/>
                <w:sz w:val="20"/>
                <w:szCs w:val="20"/>
              </w:rPr>
              <w:br w:type="textWrapping"/>
            </w:r>
            <w:r>
              <w:rPr>
                <w:rFonts w:hint="eastAsia" w:ascii="仿宋_GB2312" w:hAnsi="仿宋_GB2312" w:eastAsia="仿宋_GB2312" w:cs="仿宋_GB2312"/>
                <w:b/>
                <w:bCs/>
                <w:kern w:val="0"/>
                <w:sz w:val="20"/>
                <w:szCs w:val="20"/>
              </w:rPr>
              <w:t>⑤设备精度和运行效能：运行正常，设备精度达到公称能力，即原出厂技术要求或设备精度能符合工艺技术要求。</w:t>
            </w: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进泥及调质系统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潜水搅拌器</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污泥输送泵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w:t>
            </w:r>
          </w:p>
        </w:tc>
        <w:tc>
          <w:tcPr>
            <w:tcW w:w="1134" w:type="dxa"/>
            <w:vMerge w:val="restart"/>
            <w:tcBorders>
              <w:top w:val="nil"/>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污泥深度浓缩系统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浓缩罐超声波液位计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浓缩罐搅拌器</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隔膜计量药泵及流量计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药剂罐搅拌器</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w:t>
            </w:r>
          </w:p>
        </w:tc>
        <w:tc>
          <w:tcPr>
            <w:tcW w:w="1134" w:type="dxa"/>
            <w:vMerge w:val="continue"/>
            <w:tcBorders>
              <w:left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分体式电磁流量计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w:t>
            </w:r>
          </w:p>
        </w:tc>
        <w:tc>
          <w:tcPr>
            <w:tcW w:w="1134" w:type="dxa"/>
            <w:vMerge w:val="continue"/>
            <w:tcBorders>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电动蝶阀</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干化车间处</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注泥系统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高、低压注泥泵（螺杆泵）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压榨水泵（螺杆泵）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高压清洗水泵</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压榨水罐装置</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13</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清洗水罐装置</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14</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隔膜板框压滤机</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15</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干化系统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热源系统</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80"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16</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预处理机（破碎机）</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17</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干化机系统</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18</w:t>
            </w:r>
          </w:p>
        </w:tc>
        <w:tc>
          <w:tcPr>
            <w:tcW w:w="1134"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成品系统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成品储料系统</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19</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出泥输送机构</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20</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成品抽泥管</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21</w:t>
            </w:r>
          </w:p>
        </w:tc>
        <w:tc>
          <w:tcPr>
            <w:tcW w:w="1134" w:type="dxa"/>
            <w:vMerge w:val="continue"/>
            <w:tcBorders>
              <w:top w:val="nil"/>
              <w:left w:val="single" w:color="auto" w:sz="4" w:space="0"/>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出料闸板阀</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285" w:hRule="atLeast"/>
        </w:trPr>
        <w:tc>
          <w:tcPr>
            <w:tcW w:w="426" w:type="dxa"/>
            <w:tcBorders>
              <w:top w:val="nil"/>
              <w:left w:val="single" w:color="auto" w:sz="4" w:space="0"/>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22</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除臭系统</w:t>
            </w:r>
          </w:p>
        </w:tc>
        <w:tc>
          <w:tcPr>
            <w:tcW w:w="141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除臭设备装置</w:t>
            </w:r>
          </w:p>
        </w:tc>
        <w:tc>
          <w:tcPr>
            <w:tcW w:w="567"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w:t>
            </w:r>
          </w:p>
        </w:tc>
        <w:tc>
          <w:tcPr>
            <w:tcW w:w="131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干化车间</w:t>
            </w:r>
          </w:p>
        </w:tc>
        <w:tc>
          <w:tcPr>
            <w:tcW w:w="53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709"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850"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3"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992"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1134" w:type="dxa"/>
            <w:tcBorders>
              <w:top w:val="nil"/>
              <w:left w:val="nil"/>
              <w:bottom w:val="single" w:color="auto" w:sz="4" w:space="0"/>
              <w:right w:val="single" w:color="auto" w:sz="4" w:space="0"/>
            </w:tcBorders>
            <w:shd w:val="clear" w:color="auto" w:fill="auto"/>
            <w:vAlign w:val="center"/>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99" w:hRule="atLeast"/>
        </w:trPr>
        <w:tc>
          <w:tcPr>
            <w:tcW w:w="2977" w:type="dxa"/>
            <w:gridSpan w:val="3"/>
            <w:vMerge w:val="restart"/>
            <w:tcBorders>
              <w:top w:val="single" w:color="auto" w:sz="4" w:space="0"/>
              <w:left w:val="single" w:color="auto" w:sz="4" w:space="0"/>
              <w:right w:val="nil"/>
            </w:tcBorders>
            <w:shd w:val="clear" w:color="auto" w:fill="auto"/>
            <w:vAlign w:val="center"/>
          </w:tcPr>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试验药剂厂家（签名盖章）</w:t>
            </w:r>
          </w:p>
        </w:tc>
        <w:tc>
          <w:tcPr>
            <w:tcW w:w="8080" w:type="dxa"/>
            <w:gridSpan w:val="9"/>
            <w:tcBorders>
              <w:top w:val="single" w:color="auto" w:sz="4" w:space="0"/>
              <w:left w:val="single" w:color="auto" w:sz="4" w:space="0"/>
              <w:bottom w:val="single" w:color="auto" w:sz="4" w:space="0"/>
              <w:right w:val="single" w:color="000000" w:sz="4" w:space="0"/>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广州市净水有限公司（盖章）</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499" w:hRule="atLeast"/>
        </w:trPr>
        <w:tc>
          <w:tcPr>
            <w:tcW w:w="2977" w:type="dxa"/>
            <w:gridSpan w:val="3"/>
            <w:vMerge w:val="continue"/>
            <w:tcBorders>
              <w:left w:val="single" w:color="auto" w:sz="4" w:space="0"/>
              <w:bottom w:val="single" w:color="auto" w:sz="4" w:space="0"/>
              <w:right w:val="nil"/>
            </w:tcBorders>
            <w:shd w:val="clear" w:color="auto" w:fill="auto"/>
            <w:vAlign w:val="center"/>
          </w:tcPr>
          <w:p>
            <w:pPr>
              <w:widowControl/>
              <w:rPr>
                <w:rFonts w:hint="eastAsia" w:ascii="仿宋_GB2312" w:hAnsi="仿宋_GB2312" w:eastAsia="仿宋_GB2312" w:cs="仿宋_GB2312"/>
                <w:b/>
                <w:bCs/>
                <w:kern w:val="0"/>
                <w:sz w:val="20"/>
                <w:szCs w:val="20"/>
              </w:rPr>
            </w:pPr>
          </w:p>
        </w:tc>
        <w:tc>
          <w:tcPr>
            <w:tcW w:w="2410" w:type="dxa"/>
            <w:gridSpan w:val="3"/>
            <w:tcBorders>
              <w:top w:val="single" w:color="auto" w:sz="4" w:space="0"/>
              <w:left w:val="single" w:color="auto" w:sz="4" w:space="0"/>
              <w:bottom w:val="single" w:color="auto" w:sz="4" w:space="0"/>
              <w:right w:val="nil"/>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西朗净水厂（签名）</w:t>
            </w:r>
          </w:p>
        </w:tc>
        <w:tc>
          <w:tcPr>
            <w:tcW w:w="2551" w:type="dxa"/>
            <w:gridSpan w:val="3"/>
            <w:tcBorders>
              <w:top w:val="single" w:color="auto" w:sz="4" w:space="0"/>
              <w:left w:val="single" w:color="auto" w:sz="4" w:space="0"/>
              <w:bottom w:val="single" w:color="auto" w:sz="4" w:space="0"/>
              <w:right w:val="nil"/>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污泥项目部（签名）</w:t>
            </w:r>
          </w:p>
        </w:tc>
        <w:tc>
          <w:tcPr>
            <w:tcW w:w="3119" w:type="dxa"/>
            <w:gridSpan w:val="3"/>
            <w:tcBorders>
              <w:top w:val="single" w:color="auto" w:sz="4" w:space="0"/>
              <w:left w:val="single" w:color="auto" w:sz="4" w:space="0"/>
              <w:bottom w:val="single" w:color="auto" w:sz="4" w:space="0"/>
              <w:right w:val="single" w:color="000000" w:sz="4" w:space="0"/>
            </w:tcBorders>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技术中心（签名）</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r>
        <w:tblPrEx>
          <w:tblCellMar>
            <w:top w:w="0" w:type="dxa"/>
            <w:left w:w="108" w:type="dxa"/>
            <w:bottom w:w="0" w:type="dxa"/>
            <w:right w:w="108" w:type="dxa"/>
          </w:tblCellMar>
        </w:tblPrEx>
        <w:trPr>
          <w:trHeight w:val="1399" w:hRule="atLeast"/>
        </w:trPr>
        <w:tc>
          <w:tcPr>
            <w:tcW w:w="2977" w:type="dxa"/>
            <w:gridSpan w:val="3"/>
            <w:tcBorders>
              <w:top w:val="single" w:color="auto" w:sz="4" w:space="0"/>
              <w:left w:val="single" w:color="auto" w:sz="4" w:space="0"/>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410" w:type="dxa"/>
            <w:gridSpan w:val="3"/>
            <w:tcBorders>
              <w:top w:val="single" w:color="auto" w:sz="4" w:space="0"/>
              <w:left w:val="nil"/>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551" w:type="dxa"/>
            <w:gridSpan w:val="3"/>
            <w:tcBorders>
              <w:top w:val="single" w:color="auto" w:sz="4" w:space="0"/>
              <w:left w:val="nil"/>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3119" w:type="dxa"/>
            <w:gridSpan w:val="3"/>
            <w:tcBorders>
              <w:top w:val="single" w:color="auto" w:sz="4" w:space="0"/>
              <w:left w:val="nil"/>
              <w:bottom w:val="single" w:color="auto" w:sz="4" w:space="0"/>
              <w:right w:val="single" w:color="000000" w:sz="4" w:space="0"/>
            </w:tcBorders>
            <w:shd w:val="clear" w:color="auto" w:fill="auto"/>
          </w:tcPr>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w:t>
            </w:r>
          </w:p>
        </w:tc>
        <w:tc>
          <w:tcPr>
            <w:tcW w:w="2835" w:type="dxa"/>
            <w:vMerge w:val="continue"/>
            <w:tcBorders>
              <w:top w:val="nil"/>
              <w:left w:val="nil"/>
              <w:bottom w:val="single" w:color="auto" w:sz="4" w:space="0"/>
              <w:right w:val="single" w:color="auto" w:sz="4" w:space="0"/>
            </w:tcBorders>
            <w:vAlign w:val="center"/>
          </w:tcPr>
          <w:p>
            <w:pPr>
              <w:widowControl/>
              <w:rPr>
                <w:rFonts w:hint="eastAsia" w:ascii="仿宋_GB2312" w:hAnsi="仿宋_GB2312" w:eastAsia="仿宋_GB2312" w:cs="仿宋_GB2312"/>
                <w:b/>
                <w:bCs/>
                <w:kern w:val="0"/>
                <w:sz w:val="20"/>
                <w:szCs w:val="20"/>
              </w:rPr>
            </w:pPr>
          </w:p>
        </w:tc>
      </w:tr>
    </w:tbl>
    <w:p>
      <w:pPr>
        <w:rPr>
          <w:rFonts w:ascii="仿宋_GB2312" w:hAnsi="Times New Roman" w:eastAsia="仿宋_GB2312" w:cs="Times New Roman"/>
          <w:sz w:val="32"/>
          <w:szCs w:val="32"/>
        </w:rPr>
      </w:pPr>
    </w:p>
    <w:p>
      <w:pPr>
        <w:rPr>
          <w:rFonts w:hint="eastAsia" w:cs="仿宋_GB2312" w:asciiTheme="minorEastAsia" w:hAnsiTheme="minorEastAsia"/>
          <w:sz w:val="28"/>
          <w:szCs w:val="28"/>
        </w:rPr>
      </w:pPr>
    </w:p>
    <w:sectPr>
      <w:footerReference r:id="rId7" w:type="default"/>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rFonts w:hint="eastAsia" w:ascii="等线" w:hAnsi="等线" w:eastAsia="仿宋_GB2312" w:cs="Times New Roman"/>
        <w:sz w:val="18"/>
        <w:szCs w:val="18"/>
      </w:rPr>
    </w:pPr>
  </w:p>
  <w:p>
    <w:pPr>
      <w:tabs>
        <w:tab w:val="center" w:pos="4153"/>
        <w:tab w:val="right" w:pos="8306"/>
      </w:tabs>
      <w:snapToGrid w:val="0"/>
      <w:jc w:val="left"/>
      <w:rPr>
        <w:rFonts w:hint="eastAsia" w:ascii="等线" w:hAnsi="等线" w:eastAsia="仿宋_GB2312" w:cs="Times New Roman"/>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rFonts w:hint="eastAsia" w:ascii="等线" w:hAnsi="等线" w:eastAsia="仿宋_GB2312" w:cs="Times New Roman"/>
        <w:sz w:val="18"/>
        <w:szCs w:val="18"/>
      </w:rPr>
    </w:pPr>
  </w:p>
  <w:p>
    <w:pPr>
      <w:tabs>
        <w:tab w:val="center" w:pos="4153"/>
        <w:tab w:val="right" w:pos="8306"/>
      </w:tabs>
      <w:snapToGrid w:val="0"/>
      <w:jc w:val="left"/>
      <w:rPr>
        <w:rFonts w:hint="eastAsia" w:ascii="等线" w:hAnsi="等线" w:eastAsia="仿宋_GB2312" w:cs="Times New Roman"/>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center"/>
      <w:rPr>
        <w:rFonts w:hint="eastAsia" w:ascii="等线" w:hAnsi="等线" w:eastAsia="仿宋_GB2312" w:cs="Times New Roman"/>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I</w:t>
                    </w:r>
                    <w:r>
                      <w:fldChar w:fldCharType="end"/>
                    </w:r>
                  </w:p>
                </w:txbxContent>
              </v:textbox>
            </v:shape>
          </w:pict>
        </mc:Fallback>
      </mc:AlternateContent>
    </w:r>
  </w:p>
  <w:p>
    <w:pPr>
      <w:tabs>
        <w:tab w:val="center" w:pos="4153"/>
        <w:tab w:val="right" w:pos="8306"/>
      </w:tabs>
      <w:snapToGrid w:val="0"/>
      <w:jc w:val="left"/>
      <w:rPr>
        <w:rFonts w:hint="eastAsia" w:ascii="等线" w:hAnsi="等线" w:eastAsia="仿宋_GB2312" w:cs="Times New Roman"/>
        <w:sz w:val="18"/>
        <w:szCs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XXXIII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XXXIII</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M2ZjQ5YzJmZjNlNTBkNTkzNDY5YzkxNWExNmE0ZTcifQ=="/>
  </w:docVars>
  <w:rsids>
    <w:rsidRoot w:val="47790AB7"/>
    <w:rsid w:val="00002231"/>
    <w:rsid w:val="0001467B"/>
    <w:rsid w:val="00023F72"/>
    <w:rsid w:val="00025ECF"/>
    <w:rsid w:val="000433DB"/>
    <w:rsid w:val="00046EE0"/>
    <w:rsid w:val="00070257"/>
    <w:rsid w:val="00091B26"/>
    <w:rsid w:val="000A6C9A"/>
    <w:rsid w:val="000D1B2F"/>
    <w:rsid w:val="000E0EE7"/>
    <w:rsid w:val="000F6A48"/>
    <w:rsid w:val="001006E8"/>
    <w:rsid w:val="0010101D"/>
    <w:rsid w:val="00106D28"/>
    <w:rsid w:val="00107C6E"/>
    <w:rsid w:val="001209DA"/>
    <w:rsid w:val="00122F91"/>
    <w:rsid w:val="001473FD"/>
    <w:rsid w:val="001651D1"/>
    <w:rsid w:val="00177BB5"/>
    <w:rsid w:val="00180285"/>
    <w:rsid w:val="001C14EA"/>
    <w:rsid w:val="001C28EC"/>
    <w:rsid w:val="001C303D"/>
    <w:rsid w:val="001E2704"/>
    <w:rsid w:val="001E3D61"/>
    <w:rsid w:val="001E4EF3"/>
    <w:rsid w:val="001E5473"/>
    <w:rsid w:val="001E5F79"/>
    <w:rsid w:val="001F190C"/>
    <w:rsid w:val="002004DD"/>
    <w:rsid w:val="00205859"/>
    <w:rsid w:val="00206155"/>
    <w:rsid w:val="00206B3F"/>
    <w:rsid w:val="00243440"/>
    <w:rsid w:val="00244403"/>
    <w:rsid w:val="00274401"/>
    <w:rsid w:val="002968EB"/>
    <w:rsid w:val="002A1F5C"/>
    <w:rsid w:val="002A4AA6"/>
    <w:rsid w:val="002B417E"/>
    <w:rsid w:val="002B507A"/>
    <w:rsid w:val="002D03A7"/>
    <w:rsid w:val="002D4691"/>
    <w:rsid w:val="002E3A8D"/>
    <w:rsid w:val="00303073"/>
    <w:rsid w:val="00303EFA"/>
    <w:rsid w:val="00324253"/>
    <w:rsid w:val="0033045C"/>
    <w:rsid w:val="003377DB"/>
    <w:rsid w:val="00385431"/>
    <w:rsid w:val="00395BDA"/>
    <w:rsid w:val="003B4410"/>
    <w:rsid w:val="003C3ABB"/>
    <w:rsid w:val="003D45D3"/>
    <w:rsid w:val="003E7D0D"/>
    <w:rsid w:val="00405FEC"/>
    <w:rsid w:val="0041626E"/>
    <w:rsid w:val="00427684"/>
    <w:rsid w:val="00431BEA"/>
    <w:rsid w:val="00447B6B"/>
    <w:rsid w:val="00484EF3"/>
    <w:rsid w:val="0048573F"/>
    <w:rsid w:val="004A6214"/>
    <w:rsid w:val="004B65AC"/>
    <w:rsid w:val="004C4C80"/>
    <w:rsid w:val="004D3113"/>
    <w:rsid w:val="004E5649"/>
    <w:rsid w:val="004F5A85"/>
    <w:rsid w:val="005255A4"/>
    <w:rsid w:val="00534684"/>
    <w:rsid w:val="00535E6E"/>
    <w:rsid w:val="005577AE"/>
    <w:rsid w:val="0057359F"/>
    <w:rsid w:val="00585D44"/>
    <w:rsid w:val="00585F7C"/>
    <w:rsid w:val="005D448B"/>
    <w:rsid w:val="005E353B"/>
    <w:rsid w:val="005E437D"/>
    <w:rsid w:val="005E7432"/>
    <w:rsid w:val="005F6405"/>
    <w:rsid w:val="006047EB"/>
    <w:rsid w:val="00660AA8"/>
    <w:rsid w:val="00683BC8"/>
    <w:rsid w:val="00692076"/>
    <w:rsid w:val="006979B7"/>
    <w:rsid w:val="006B53A8"/>
    <w:rsid w:val="006C1F56"/>
    <w:rsid w:val="006C69C1"/>
    <w:rsid w:val="006D164A"/>
    <w:rsid w:val="00724BC2"/>
    <w:rsid w:val="00734144"/>
    <w:rsid w:val="0074614F"/>
    <w:rsid w:val="007548FF"/>
    <w:rsid w:val="00766639"/>
    <w:rsid w:val="00770789"/>
    <w:rsid w:val="00780B2C"/>
    <w:rsid w:val="00783B1A"/>
    <w:rsid w:val="007918E8"/>
    <w:rsid w:val="007D369C"/>
    <w:rsid w:val="007F7610"/>
    <w:rsid w:val="00807700"/>
    <w:rsid w:val="00816E99"/>
    <w:rsid w:val="00824191"/>
    <w:rsid w:val="00843F85"/>
    <w:rsid w:val="0085652B"/>
    <w:rsid w:val="0086318C"/>
    <w:rsid w:val="008633A0"/>
    <w:rsid w:val="0087238A"/>
    <w:rsid w:val="00877323"/>
    <w:rsid w:val="00886423"/>
    <w:rsid w:val="008A0D54"/>
    <w:rsid w:val="008A5529"/>
    <w:rsid w:val="008C17C3"/>
    <w:rsid w:val="008C1A16"/>
    <w:rsid w:val="008C1F98"/>
    <w:rsid w:val="008C51C3"/>
    <w:rsid w:val="008C52FB"/>
    <w:rsid w:val="008E7A52"/>
    <w:rsid w:val="008F3886"/>
    <w:rsid w:val="00903547"/>
    <w:rsid w:val="0090603D"/>
    <w:rsid w:val="009111D6"/>
    <w:rsid w:val="00914539"/>
    <w:rsid w:val="00930054"/>
    <w:rsid w:val="00934958"/>
    <w:rsid w:val="00945F99"/>
    <w:rsid w:val="009622AE"/>
    <w:rsid w:val="00971458"/>
    <w:rsid w:val="00973A16"/>
    <w:rsid w:val="00982AC7"/>
    <w:rsid w:val="00997442"/>
    <w:rsid w:val="009975EB"/>
    <w:rsid w:val="009A046A"/>
    <w:rsid w:val="009A0FF7"/>
    <w:rsid w:val="009E0A1A"/>
    <w:rsid w:val="00A0047E"/>
    <w:rsid w:val="00A101B9"/>
    <w:rsid w:val="00A11520"/>
    <w:rsid w:val="00A17070"/>
    <w:rsid w:val="00A30197"/>
    <w:rsid w:val="00A84A11"/>
    <w:rsid w:val="00AA2119"/>
    <w:rsid w:val="00AA3ADB"/>
    <w:rsid w:val="00AA6D8A"/>
    <w:rsid w:val="00AB05FA"/>
    <w:rsid w:val="00AB253B"/>
    <w:rsid w:val="00AC1748"/>
    <w:rsid w:val="00AC7814"/>
    <w:rsid w:val="00AD3303"/>
    <w:rsid w:val="00B16F76"/>
    <w:rsid w:val="00B2676B"/>
    <w:rsid w:val="00B45254"/>
    <w:rsid w:val="00B474A3"/>
    <w:rsid w:val="00B55590"/>
    <w:rsid w:val="00B56F6C"/>
    <w:rsid w:val="00B67936"/>
    <w:rsid w:val="00BB16B9"/>
    <w:rsid w:val="00BB4D67"/>
    <w:rsid w:val="00BC3A4E"/>
    <w:rsid w:val="00C3598D"/>
    <w:rsid w:val="00C55543"/>
    <w:rsid w:val="00C57FDC"/>
    <w:rsid w:val="00C61412"/>
    <w:rsid w:val="00C6549A"/>
    <w:rsid w:val="00C654F3"/>
    <w:rsid w:val="00C81089"/>
    <w:rsid w:val="00C93102"/>
    <w:rsid w:val="00C937A0"/>
    <w:rsid w:val="00C9713A"/>
    <w:rsid w:val="00CB2042"/>
    <w:rsid w:val="00CB2C3A"/>
    <w:rsid w:val="00CC10D7"/>
    <w:rsid w:val="00CC1D03"/>
    <w:rsid w:val="00CC4F4C"/>
    <w:rsid w:val="00CD7744"/>
    <w:rsid w:val="00CE2094"/>
    <w:rsid w:val="00CE73D7"/>
    <w:rsid w:val="00CF0976"/>
    <w:rsid w:val="00CF666C"/>
    <w:rsid w:val="00D463D9"/>
    <w:rsid w:val="00D63F25"/>
    <w:rsid w:val="00DA2681"/>
    <w:rsid w:val="00DB1B88"/>
    <w:rsid w:val="00DB5E91"/>
    <w:rsid w:val="00DD482C"/>
    <w:rsid w:val="00DD6084"/>
    <w:rsid w:val="00DF3232"/>
    <w:rsid w:val="00E10CD8"/>
    <w:rsid w:val="00E37300"/>
    <w:rsid w:val="00E464CC"/>
    <w:rsid w:val="00E5037D"/>
    <w:rsid w:val="00E534D2"/>
    <w:rsid w:val="00E66908"/>
    <w:rsid w:val="00E71DDF"/>
    <w:rsid w:val="00E9060C"/>
    <w:rsid w:val="00E9145B"/>
    <w:rsid w:val="00EA5914"/>
    <w:rsid w:val="00EB5CB5"/>
    <w:rsid w:val="00EB7BE2"/>
    <w:rsid w:val="00EE21F5"/>
    <w:rsid w:val="00EE75DA"/>
    <w:rsid w:val="00EF1F69"/>
    <w:rsid w:val="00EF2DBF"/>
    <w:rsid w:val="00F0546C"/>
    <w:rsid w:val="00F05EDA"/>
    <w:rsid w:val="00F20583"/>
    <w:rsid w:val="00F243FA"/>
    <w:rsid w:val="00F25BB0"/>
    <w:rsid w:val="00F2607A"/>
    <w:rsid w:val="00F3427E"/>
    <w:rsid w:val="00F46077"/>
    <w:rsid w:val="00F55A78"/>
    <w:rsid w:val="00F73D53"/>
    <w:rsid w:val="00F8350A"/>
    <w:rsid w:val="00F90723"/>
    <w:rsid w:val="00F97734"/>
    <w:rsid w:val="00FB24B6"/>
    <w:rsid w:val="00FD2807"/>
    <w:rsid w:val="00FE3621"/>
    <w:rsid w:val="00FE708D"/>
    <w:rsid w:val="00FE7E0C"/>
    <w:rsid w:val="00FF16FA"/>
    <w:rsid w:val="035C54BC"/>
    <w:rsid w:val="047F0AC5"/>
    <w:rsid w:val="06C26127"/>
    <w:rsid w:val="0A2E699B"/>
    <w:rsid w:val="0BF92556"/>
    <w:rsid w:val="10451488"/>
    <w:rsid w:val="104C5271"/>
    <w:rsid w:val="116C6D81"/>
    <w:rsid w:val="13726CD2"/>
    <w:rsid w:val="14A716EA"/>
    <w:rsid w:val="158B165F"/>
    <w:rsid w:val="1C461D5E"/>
    <w:rsid w:val="1D0D6404"/>
    <w:rsid w:val="1ED85F95"/>
    <w:rsid w:val="24A71884"/>
    <w:rsid w:val="259D4C80"/>
    <w:rsid w:val="25C5127A"/>
    <w:rsid w:val="267133CE"/>
    <w:rsid w:val="2A295DBE"/>
    <w:rsid w:val="2B326843"/>
    <w:rsid w:val="2DBF46D2"/>
    <w:rsid w:val="3CB879BE"/>
    <w:rsid w:val="43597899"/>
    <w:rsid w:val="4405241C"/>
    <w:rsid w:val="463546CD"/>
    <w:rsid w:val="47790AB7"/>
    <w:rsid w:val="4B677CCA"/>
    <w:rsid w:val="4E095D1A"/>
    <w:rsid w:val="4FED1BF8"/>
    <w:rsid w:val="50736915"/>
    <w:rsid w:val="51A472DE"/>
    <w:rsid w:val="53722915"/>
    <w:rsid w:val="53950F8D"/>
    <w:rsid w:val="56D7691B"/>
    <w:rsid w:val="591D2ADF"/>
    <w:rsid w:val="59466054"/>
    <w:rsid w:val="5E65126A"/>
    <w:rsid w:val="62696723"/>
    <w:rsid w:val="64512F8D"/>
    <w:rsid w:val="645626E6"/>
    <w:rsid w:val="64AC3FBC"/>
    <w:rsid w:val="66575FD9"/>
    <w:rsid w:val="66E155F7"/>
    <w:rsid w:val="68DA4297"/>
    <w:rsid w:val="6A5766DF"/>
    <w:rsid w:val="6BFC0FB6"/>
    <w:rsid w:val="6C4C14D3"/>
    <w:rsid w:val="6F9C0EFC"/>
    <w:rsid w:val="70035F41"/>
    <w:rsid w:val="71370AE9"/>
    <w:rsid w:val="754B2F75"/>
    <w:rsid w:val="7C0F5A29"/>
    <w:rsid w:val="7D000E34"/>
    <w:rsid w:val="7EBF06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iPriority="99"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iPriority="99"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qFormat="1" w:unhideWhenUsed="0" w:uiPriority="99" w:semiHidden="0" w:name="Body Text First Indent"/>
    <w:lsdException w:qFormat="1" w:uiPriority="99"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uiPriority="0" w:name="Hyperlink"/>
    <w:lsdException w:uiPriority="0" w:name="FollowedHyperlink"/>
    <w:lsdException w:qFormat="1" w:unhideWhenUsed="0" w:uiPriority="22"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2"/>
    <w:basedOn w:val="1"/>
    <w:next w:val="1"/>
    <w:qFormat/>
    <w:uiPriority w:val="0"/>
    <w:pPr>
      <w:keepNext/>
      <w:keepLines/>
      <w:spacing w:before="260" w:after="260" w:line="413" w:lineRule="auto"/>
      <w:outlineLvl w:val="1"/>
    </w:pPr>
    <w:rPr>
      <w:rFonts w:ascii="Cambria" w:hAnsi="Cambria"/>
      <w:b/>
      <w:bCs/>
      <w:sz w:val="32"/>
      <w:szCs w:val="32"/>
    </w:rPr>
  </w:style>
  <w:style w:type="character" w:default="1" w:styleId="16">
    <w:name w:val="Default Paragraph Font"/>
    <w:semiHidden/>
    <w:unhideWhenUsed/>
    <w:uiPriority w:val="1"/>
  </w:style>
  <w:style w:type="table" w:default="1" w:styleId="14">
    <w:name w:val="Normal Table"/>
    <w:semiHidden/>
    <w:unhideWhenUsed/>
    <w:uiPriority w:val="99"/>
    <w:tblPr>
      <w:tblCellMar>
        <w:top w:w="0" w:type="dxa"/>
        <w:left w:w="108" w:type="dxa"/>
        <w:bottom w:w="0" w:type="dxa"/>
        <w:right w:w="108" w:type="dxa"/>
      </w:tblCellMar>
    </w:tblPr>
  </w:style>
  <w:style w:type="paragraph" w:styleId="2">
    <w:name w:val="Normal Indent"/>
    <w:basedOn w:val="1"/>
    <w:qFormat/>
    <w:uiPriority w:val="0"/>
    <w:pPr>
      <w:ind w:firstLine="420" w:firstLineChars="200"/>
    </w:pPr>
  </w:style>
  <w:style w:type="paragraph" w:styleId="4">
    <w:name w:val="annotation text"/>
    <w:basedOn w:val="1"/>
    <w:link w:val="26"/>
    <w:semiHidden/>
    <w:unhideWhenUsed/>
    <w:qFormat/>
    <w:uiPriority w:val="99"/>
    <w:pPr>
      <w:jc w:val="left"/>
    </w:pPr>
  </w:style>
  <w:style w:type="paragraph" w:styleId="5">
    <w:name w:val="Body Text"/>
    <w:basedOn w:val="1"/>
    <w:link w:val="28"/>
    <w:qFormat/>
    <w:uiPriority w:val="0"/>
    <w:pPr>
      <w:spacing w:after="120"/>
    </w:pPr>
  </w:style>
  <w:style w:type="paragraph" w:styleId="6">
    <w:name w:val="Body Text Indent 2"/>
    <w:basedOn w:val="1"/>
    <w:qFormat/>
    <w:uiPriority w:val="0"/>
    <w:pPr>
      <w:adjustRightInd w:val="0"/>
      <w:spacing w:after="120" w:line="480" w:lineRule="auto"/>
      <w:ind w:left="420"/>
      <w:textAlignment w:val="baseline"/>
    </w:pPr>
    <w:rPr>
      <w:rFonts w:ascii="Times New Roman" w:hAnsi="Times New Roman" w:cs="Times New Roman"/>
      <w:kern w:val="0"/>
      <w:szCs w:val="20"/>
    </w:rPr>
  </w:style>
  <w:style w:type="paragraph" w:styleId="7">
    <w:name w:val="Balloon Text"/>
    <w:basedOn w:val="1"/>
    <w:link w:val="25"/>
    <w:qFormat/>
    <w:uiPriority w:val="0"/>
    <w:rPr>
      <w:sz w:val="18"/>
      <w:szCs w:val="18"/>
    </w:rPr>
  </w:style>
  <w:style w:type="paragraph" w:styleId="8">
    <w:name w:val="footer"/>
    <w:basedOn w:val="1"/>
    <w:qFormat/>
    <w:uiPriority w:val="99"/>
    <w:pPr>
      <w:tabs>
        <w:tab w:val="center" w:pos="4153"/>
        <w:tab w:val="right" w:pos="8306"/>
      </w:tabs>
      <w:snapToGrid w:val="0"/>
      <w:jc w:val="left"/>
    </w:pPr>
    <w:rPr>
      <w:sz w:val="18"/>
      <w:szCs w:val="18"/>
    </w:rPr>
  </w:style>
  <w:style w:type="paragraph" w:styleId="9">
    <w:name w:val="header"/>
    <w:basedOn w:val="1"/>
    <w:link w:val="24"/>
    <w:qFormat/>
    <w:uiPriority w:val="0"/>
    <w:pPr>
      <w:pBdr>
        <w:bottom w:val="single" w:color="auto" w:sz="6" w:space="1"/>
      </w:pBdr>
      <w:tabs>
        <w:tab w:val="center" w:pos="4153"/>
        <w:tab w:val="right" w:pos="8306"/>
      </w:tabs>
      <w:snapToGrid w:val="0"/>
      <w:jc w:val="center"/>
    </w:pPr>
    <w:rPr>
      <w:sz w:val="18"/>
      <w:szCs w:val="18"/>
    </w:rPr>
  </w:style>
  <w:style w:type="paragraph" w:styleId="10">
    <w:name w:val="List"/>
    <w:basedOn w:val="1"/>
    <w:next w:val="1"/>
    <w:qFormat/>
    <w:uiPriority w:val="0"/>
    <w:pPr>
      <w:snapToGrid w:val="0"/>
    </w:pPr>
  </w:style>
  <w:style w:type="paragraph" w:styleId="11">
    <w:name w:val="Normal (Web)"/>
    <w:basedOn w:val="1"/>
    <w:unhideWhenUsed/>
    <w:qFormat/>
    <w:uiPriority w:val="99"/>
    <w:pPr>
      <w:spacing w:before="100" w:beforeAutospacing="1" w:after="100" w:afterAutospacing="1" w:line="360" w:lineRule="auto"/>
      <w:jc w:val="left"/>
    </w:pPr>
    <w:rPr>
      <w:rFonts w:eastAsia="仿宋_GB2312" w:cs="Times New Roman"/>
      <w:kern w:val="0"/>
      <w:sz w:val="24"/>
      <w:szCs w:val="22"/>
    </w:rPr>
  </w:style>
  <w:style w:type="paragraph" w:styleId="12">
    <w:name w:val="annotation subject"/>
    <w:basedOn w:val="4"/>
    <w:next w:val="4"/>
    <w:link w:val="27"/>
    <w:qFormat/>
    <w:uiPriority w:val="0"/>
    <w:rPr>
      <w:b/>
      <w:bCs/>
    </w:rPr>
  </w:style>
  <w:style w:type="paragraph" w:styleId="13">
    <w:name w:val="Body Text First Indent"/>
    <w:basedOn w:val="5"/>
    <w:link w:val="32"/>
    <w:qFormat/>
    <w:uiPriority w:val="99"/>
    <w:pPr>
      <w:ind w:firstLine="420" w:firstLineChars="100"/>
    </w:pPr>
    <w:rPr>
      <w:rFonts w:ascii="Times New Roman" w:hAnsi="Times New Roman" w:eastAsia="宋体" w:cs="Times New Roman"/>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22"/>
    <w:rPr>
      <w:b/>
      <w:bCs/>
    </w:rPr>
  </w:style>
  <w:style w:type="character" w:styleId="18">
    <w:name w:val="page number"/>
    <w:basedOn w:val="16"/>
    <w:qFormat/>
    <w:uiPriority w:val="0"/>
  </w:style>
  <w:style w:type="character" w:styleId="19">
    <w:name w:val="annotation reference"/>
    <w:basedOn w:val="16"/>
    <w:qFormat/>
    <w:uiPriority w:val="0"/>
    <w:rPr>
      <w:sz w:val="21"/>
      <w:szCs w:val="21"/>
    </w:rPr>
  </w:style>
  <w:style w:type="paragraph" w:customStyle="1" w:styleId="20">
    <w:name w:val="Default1"/>
    <w:qFormat/>
    <w:uiPriority w:val="0"/>
    <w:pPr>
      <w:widowControl w:val="0"/>
      <w:autoSpaceDE w:val="0"/>
      <w:autoSpaceDN w:val="0"/>
      <w:adjustRightInd w:val="0"/>
    </w:pPr>
    <w:rPr>
      <w:rFonts w:ascii="宋体" w:hAnsi="Times New Roman" w:eastAsia="仿宋_GB2312" w:cs="宋体"/>
      <w:color w:val="000000"/>
      <w:sz w:val="24"/>
      <w:szCs w:val="24"/>
      <w:lang w:val="en-US" w:eastAsia="zh-CN" w:bidi="ar-SA"/>
    </w:rPr>
  </w:style>
  <w:style w:type="table" w:customStyle="1" w:styleId="21">
    <w:name w:val="Table Normal"/>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paragraph" w:styleId="22">
    <w:name w:val="List Paragraph"/>
    <w:basedOn w:val="1"/>
    <w:qFormat/>
    <w:uiPriority w:val="99"/>
    <w:pPr>
      <w:ind w:firstLine="420" w:firstLineChars="200"/>
    </w:pPr>
    <w:rPr>
      <w:rFonts w:cs="Times New Roman"/>
    </w:rPr>
  </w:style>
  <w:style w:type="paragraph" w:styleId="23">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24">
    <w:name w:val="页眉 字符"/>
    <w:basedOn w:val="16"/>
    <w:link w:val="9"/>
    <w:qFormat/>
    <w:uiPriority w:val="0"/>
    <w:rPr>
      <w:kern w:val="2"/>
      <w:sz w:val="18"/>
      <w:szCs w:val="18"/>
    </w:rPr>
  </w:style>
  <w:style w:type="character" w:customStyle="1" w:styleId="25">
    <w:name w:val="批注框文本 字符"/>
    <w:basedOn w:val="16"/>
    <w:link w:val="7"/>
    <w:qFormat/>
    <w:uiPriority w:val="0"/>
    <w:rPr>
      <w:kern w:val="2"/>
      <w:sz w:val="18"/>
      <w:szCs w:val="18"/>
    </w:rPr>
  </w:style>
  <w:style w:type="character" w:customStyle="1" w:styleId="26">
    <w:name w:val="批注文字 字符"/>
    <w:basedOn w:val="16"/>
    <w:link w:val="4"/>
    <w:semiHidden/>
    <w:qFormat/>
    <w:uiPriority w:val="99"/>
    <w:rPr>
      <w:kern w:val="2"/>
      <w:sz w:val="21"/>
      <w:szCs w:val="24"/>
    </w:rPr>
  </w:style>
  <w:style w:type="character" w:customStyle="1" w:styleId="27">
    <w:name w:val="批注主题 字符"/>
    <w:basedOn w:val="26"/>
    <w:link w:val="12"/>
    <w:qFormat/>
    <w:uiPriority w:val="0"/>
    <w:rPr>
      <w:b/>
      <w:bCs/>
      <w:kern w:val="2"/>
      <w:sz w:val="21"/>
      <w:szCs w:val="24"/>
    </w:rPr>
  </w:style>
  <w:style w:type="character" w:customStyle="1" w:styleId="28">
    <w:name w:val="正文文本 字符"/>
    <w:basedOn w:val="16"/>
    <w:link w:val="5"/>
    <w:qFormat/>
    <w:uiPriority w:val="0"/>
    <w:rPr>
      <w:kern w:val="2"/>
      <w:sz w:val="21"/>
      <w:szCs w:val="24"/>
    </w:rPr>
  </w:style>
  <w:style w:type="paragraph" w:customStyle="1" w:styleId="29">
    <w:name w:val="列出段落1"/>
    <w:basedOn w:val="1"/>
    <w:qFormat/>
    <w:uiPriority w:val="34"/>
    <w:pPr>
      <w:spacing w:line="360" w:lineRule="auto"/>
      <w:ind w:firstLine="420" w:firstLineChars="200"/>
    </w:pPr>
    <w:rPr>
      <w:rFonts w:ascii="Times New Roman" w:hAnsi="Times New Roman" w:eastAsia="宋体" w:cs="Times New Roman"/>
      <w:sz w:val="24"/>
      <w:szCs w:val="20"/>
    </w:rPr>
  </w:style>
  <w:style w:type="paragraph" w:customStyle="1" w:styleId="30">
    <w:name w:val="Table Paragraph"/>
    <w:basedOn w:val="1"/>
    <w:qFormat/>
    <w:uiPriority w:val="1"/>
    <w:pPr>
      <w:autoSpaceDE w:val="0"/>
      <w:autoSpaceDN w:val="0"/>
      <w:jc w:val="left"/>
    </w:pPr>
    <w:rPr>
      <w:rFonts w:ascii="宋体" w:hAnsi="宋体" w:eastAsia="宋体" w:cs="宋体"/>
      <w:kern w:val="0"/>
      <w:sz w:val="22"/>
      <w:szCs w:val="22"/>
      <w:lang w:eastAsia="en-US"/>
    </w:rPr>
  </w:style>
  <w:style w:type="paragraph" w:customStyle="1" w:styleId="31">
    <w:name w:val="修订1"/>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32">
    <w:name w:val="正文文本首行缩进 字符"/>
    <w:basedOn w:val="28"/>
    <w:link w:val="13"/>
    <w:qFormat/>
    <w:uiPriority w:val="99"/>
    <w:rPr>
      <w:rFonts w:ascii="Times New Roman" w:hAnsi="Times New Roman" w:eastAsia="宋体" w:cs="Times New Roman"/>
      <w:kern w:val="2"/>
      <w:sz w:val="21"/>
      <w:szCs w:val="24"/>
    </w:rPr>
  </w:style>
  <w:style w:type="paragraph" w:customStyle="1" w:styleId="33">
    <w:name w:val="Default"/>
    <w:next w:val="10"/>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4">
    <w:name w:val="Revision"/>
    <w:hidden/>
    <w:unhideWhenUsed/>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B81409-B738-438A-B1E8-06807BEF2FA1}">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38</Pages>
  <Words>2085</Words>
  <Characters>11891</Characters>
  <Lines>99</Lines>
  <Paragraphs>27</Paragraphs>
  <TotalTime>1</TotalTime>
  <ScaleCrop>false</ScaleCrop>
  <LinksUpToDate>false</LinksUpToDate>
  <CharactersWithSpaces>13949</CharactersWithSpaces>
  <Application>WPS Office_11.8.6.11719_F1E327BC-269C-435d-A152-05C5408002CA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2024-10-28T03:03:00Z</dcterms:created>
  <dc:creator>wlf</dc:creator>
  <cp:lastModifiedBy>颜文光</cp:lastModifiedBy>
  <cp:lastPrinted>2024-10-16T01:33:00Z</cp:lastPrinted>
  <dcterms:modified xsi:type="dcterms:W3CDTF">2024-10-29T01:22:58Z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2052-11.8.6.11719</vt:lpwstr>
  </property>
  <property fmtid="{D5CDD505-2E9C-101B-9397-08002B2CF9AE}" pid="3" name="ICV">
    <vt:lpwstr>F000A748CFBE4F5F980AC04C0A50CDEC</vt:lpwstr>
  </property>
</Properties>
</file>